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99F2EC" w14:textId="0CCBD19B" w:rsidR="002B1CEA" w:rsidRDefault="002B1CEA" w:rsidP="002952E7">
      <w:pPr>
        <w:pStyle w:val="Heading1"/>
      </w:pPr>
      <w:r>
        <w:t>Stabilizing Inflation</w:t>
      </w:r>
      <w:r w:rsidR="000F55A5">
        <w:t xml:space="preserve"> in Uncertain</w:t>
      </w:r>
      <w:r w:rsidR="004A06F8">
        <w:rPr>
          <w:noProof/>
        </w:rPr>
        <w:drawing>
          <wp:anchor distT="0" distB="0" distL="114300" distR="114300" simplePos="0" relativeHeight="251734528" behindDoc="0" locked="0" layoutInCell="1" allowOverlap="1" wp14:anchorId="0234DED6" wp14:editId="03A55206">
            <wp:simplePos x="0" y="0"/>
            <wp:positionH relativeFrom="margin">
              <wp:align>right</wp:align>
            </wp:positionH>
            <wp:positionV relativeFrom="margin">
              <wp:align>top</wp:align>
            </wp:positionV>
            <wp:extent cx="2921000" cy="850900"/>
            <wp:effectExtent l="0" t="0" r="0" b="0"/>
            <wp:wrapSquare wrapText="bothSides"/>
            <wp:docPr id="48267721" name="Picture 2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67721" name="Picture 25" descr="A close-up of a 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921000" cy="850900"/>
                    </a:xfrm>
                    <a:prstGeom prst="rect">
                      <a:avLst/>
                    </a:prstGeom>
                  </pic:spPr>
                </pic:pic>
              </a:graphicData>
            </a:graphic>
          </wp:anchor>
        </w:drawing>
      </w:r>
      <w:r w:rsidR="000F55A5">
        <w:t xml:space="preserve"> Times</w:t>
      </w:r>
      <w:r w:rsidRPr="007E3568">
        <w:t xml:space="preserve">: What </w:t>
      </w:r>
      <w:r>
        <w:t>D</w:t>
      </w:r>
      <w:r w:rsidRPr="007E3568">
        <w:t xml:space="preserve">oes it </w:t>
      </w:r>
      <w:r>
        <w:t>M</w:t>
      </w:r>
      <w:r w:rsidRPr="007E3568">
        <w:t xml:space="preserve">ean for </w:t>
      </w:r>
      <w:r>
        <w:t>A</w:t>
      </w:r>
      <w:r w:rsidRPr="007E3568">
        <w:t xml:space="preserve">cademe? </w:t>
      </w:r>
    </w:p>
    <w:p w14:paraId="382E608B" w14:textId="28963320" w:rsidR="003450A2" w:rsidRPr="0052754D" w:rsidRDefault="003450A2" w:rsidP="003450A2">
      <w:pPr>
        <w:spacing w:after="0"/>
      </w:pPr>
      <w:r w:rsidRPr="0052754D">
        <w:t xml:space="preserve">Prepared by </w:t>
      </w:r>
      <w:r w:rsidR="002B1CEA">
        <w:t xml:space="preserve">Abby Miller and </w:t>
      </w:r>
      <w:r w:rsidRPr="0052754D">
        <w:t xml:space="preserve">Sue Clery, ASA Research, </w:t>
      </w:r>
      <w:r w:rsidR="00B32F0B" w:rsidRPr="0052754D">
        <w:t>February</w:t>
      </w:r>
      <w:r w:rsidRPr="0052754D">
        <w:t xml:space="preserve"> 202</w:t>
      </w:r>
      <w:r w:rsidR="00A86917">
        <w:t>5</w:t>
      </w:r>
    </w:p>
    <w:p w14:paraId="216649C7" w14:textId="74493BC7" w:rsidR="003450A2" w:rsidRPr="0052754D" w:rsidRDefault="003450A2" w:rsidP="003450A2">
      <w:pPr>
        <w:spacing w:after="0"/>
      </w:pPr>
    </w:p>
    <w:p w14:paraId="476A62F5" w14:textId="44C28FBA" w:rsidR="00820962" w:rsidRDefault="00F32CF4" w:rsidP="00764C45">
      <w:r w:rsidRPr="00F32CF4">
        <w:t>Faculty purchasing power reached a historic high in 2008-09 at the onset of the Great Recession. It declined during the recession and recovery years but later rebounded, reaching another peak just before the pandemic. However, pandemic-era inflation caused a significant drop</w:t>
      </w:r>
      <w:r w:rsidR="007A5C6F">
        <w:t xml:space="preserve"> in faculty purchasing power</w:t>
      </w:r>
      <w:r w:rsidRPr="00F32CF4">
        <w:t xml:space="preserve">, bringing </w:t>
      </w:r>
      <w:r w:rsidR="007A5C6F">
        <w:t xml:space="preserve">it </w:t>
      </w:r>
      <w:r w:rsidRPr="00F32CF4">
        <w:t>well below both pre-recession and pre-pandemic levels.</w:t>
      </w:r>
      <w:r w:rsidR="007A5C6F">
        <w:t xml:space="preserve"> </w:t>
      </w:r>
      <w:r w:rsidR="007A5C6F" w:rsidRPr="00F32CF4">
        <w:t>The inflation surge of the early 2020s led to a 7.7 percent decline in faculty purchasing power between 2019-20 and 2022-23</w:t>
      </w:r>
      <w:r w:rsidR="00A35758">
        <w:t xml:space="preserve"> (Figure 1)</w:t>
      </w:r>
      <w:r w:rsidR="007A5C6F" w:rsidRPr="00F32CF4">
        <w:t xml:space="preserve">. </w:t>
      </w:r>
      <w:r w:rsidR="00820962">
        <w:rPr>
          <w:noProof/>
        </w:rPr>
        <w:drawing>
          <wp:anchor distT="0" distB="0" distL="114300" distR="114300" simplePos="0" relativeHeight="251710976" behindDoc="0" locked="0" layoutInCell="1" allowOverlap="1" wp14:anchorId="3B389CDE" wp14:editId="69E9ADEF">
            <wp:simplePos x="0" y="0"/>
            <wp:positionH relativeFrom="column">
              <wp:posOffset>0</wp:posOffset>
            </wp:positionH>
            <wp:positionV relativeFrom="paragraph">
              <wp:posOffset>3175</wp:posOffset>
            </wp:positionV>
            <wp:extent cx="3992245" cy="3291840"/>
            <wp:effectExtent l="0" t="0" r="0" b="0"/>
            <wp:wrapSquare wrapText="bothSides"/>
            <wp:docPr id="2008216658" name="Picture 4" descr="A graph of a graph showing the cost of purchasing p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216658" name="Picture 4" descr="A graph of a graph showing the cost of purchasing power&#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3992245" cy="3291840"/>
                    </a:xfrm>
                    <a:prstGeom prst="rect">
                      <a:avLst/>
                    </a:prstGeom>
                  </pic:spPr>
                </pic:pic>
              </a:graphicData>
            </a:graphic>
            <wp14:sizeRelH relativeFrom="page">
              <wp14:pctWidth>0</wp14:pctWidth>
            </wp14:sizeRelH>
            <wp14:sizeRelV relativeFrom="page">
              <wp14:pctHeight>0</wp14:pctHeight>
            </wp14:sizeRelV>
          </wp:anchor>
        </w:drawing>
      </w:r>
    </w:p>
    <w:p w14:paraId="69DB3F09" w14:textId="6C61914C" w:rsidR="00764C45" w:rsidRDefault="00764C45" w:rsidP="00764C45">
      <w:r w:rsidRPr="00F32CF4">
        <w:t xml:space="preserve">This year’s annual update on faculty salaries for the 2023-24 academic year shows encouraging progress. After the sharp decline in purchasing power during the COVID era, </w:t>
      </w:r>
      <w:r w:rsidR="00A35758" w:rsidRPr="00F32CF4">
        <w:t>inflation has slowed and stabilized in recent years</w:t>
      </w:r>
      <w:r w:rsidR="00A35758">
        <w:t>. F</w:t>
      </w:r>
      <w:r w:rsidRPr="00F32CF4">
        <w:t>aculty salaries rose by an average of 4.3 percent between 2022-23 and 2023-24, exceeding the 3.3 percent inflation rate.</w:t>
      </w:r>
      <w:r>
        <w:rPr>
          <w:rStyle w:val="EndnoteReference"/>
        </w:rPr>
        <w:endnoteReference w:id="1"/>
      </w:r>
      <w:r w:rsidRPr="00F32CF4">
        <w:t xml:space="preserve"> As a result, faculty purchasing power increased by 1 percent over the year. </w:t>
      </w:r>
      <w:r w:rsidR="007A5C6F">
        <w:t>D</w:t>
      </w:r>
      <w:r w:rsidRPr="00F32CF4">
        <w:t xml:space="preserve">espite this improvement, purchasing power in 2023-24 </w:t>
      </w:r>
      <w:r w:rsidR="00A35758">
        <w:t xml:space="preserve">was </w:t>
      </w:r>
      <w:r w:rsidRPr="00F32CF4">
        <w:t>6.8 percent below pre-pandemic levels.</w:t>
      </w:r>
      <w:r w:rsidR="007A5C6F" w:rsidRPr="007A5C6F">
        <w:t xml:space="preserve"> </w:t>
      </w:r>
      <w:r w:rsidR="00A35758">
        <w:t xml:space="preserve">Future years’ </w:t>
      </w:r>
      <w:r w:rsidR="007A5C6F" w:rsidRPr="00F32CF4">
        <w:t>salary increases must continue to outpace inflation for purchasing power to fully recover; otherwise, faculty purchasing power will continue to erode</w:t>
      </w:r>
      <w:r w:rsidR="007A5C6F">
        <w:t>.</w:t>
      </w:r>
    </w:p>
    <w:p w14:paraId="1A56B7C0" w14:textId="79241107" w:rsidR="00B04190" w:rsidRDefault="00820962" w:rsidP="002952E7">
      <w:r>
        <w:rPr>
          <w:noProof/>
        </w:rPr>
        <w:drawing>
          <wp:anchor distT="0" distB="0" distL="114300" distR="114300" simplePos="0" relativeHeight="251729408" behindDoc="0" locked="0" layoutInCell="1" allowOverlap="1" wp14:anchorId="77AE3B2A" wp14:editId="34DB046D">
            <wp:simplePos x="0" y="0"/>
            <wp:positionH relativeFrom="column">
              <wp:posOffset>0</wp:posOffset>
            </wp:positionH>
            <wp:positionV relativeFrom="paragraph">
              <wp:posOffset>85032</wp:posOffset>
            </wp:positionV>
            <wp:extent cx="4535170" cy="2061210"/>
            <wp:effectExtent l="0" t="0" r="0" b="0"/>
            <wp:wrapSquare wrapText="bothSides"/>
            <wp:docPr id="1428555728" name="Picture 5"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55728" name="Picture 5" descr="A graph with numbers and line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535170" cy="2061210"/>
                    </a:xfrm>
                    <a:prstGeom prst="rect">
                      <a:avLst/>
                    </a:prstGeom>
                  </pic:spPr>
                </pic:pic>
              </a:graphicData>
            </a:graphic>
            <wp14:sizeRelH relativeFrom="page">
              <wp14:pctWidth>0</wp14:pctWidth>
            </wp14:sizeRelH>
            <wp14:sizeRelV relativeFrom="page">
              <wp14:pctHeight>0</wp14:pctHeight>
            </wp14:sizeRelV>
          </wp:anchor>
        </w:drawing>
      </w:r>
      <w:r w:rsidR="00B04190" w:rsidRPr="00A16B64">
        <w:t xml:space="preserve">Faculty not only experienced a decline in purchasing power but also faced job losses. The first full academic year of the pandemic brought furloughs and layoffs, resulting in a 2 percent decline in full-time faculty and a 7 percent decline in </w:t>
      </w:r>
      <w:r w:rsidR="00B04190" w:rsidRPr="00A16B64">
        <w:lastRenderedPageBreak/>
        <w:t>part-time faculty between 2019-20 and 2020-21 (Figure 2). Since then, faculty numbers have fluctuated slightly, and as of 2023-24, full-time faculty positions remain 2 percent below pre-pandemic levels, while part-time faculty positions have seen modest increase</w:t>
      </w:r>
      <w:r w:rsidR="00570E97">
        <w:t>s</w:t>
      </w:r>
      <w:r w:rsidR="00B04190" w:rsidRPr="00A16B64">
        <w:t xml:space="preserve"> but are still 4 percent below pre-pandemic levels.</w:t>
      </w:r>
    </w:p>
    <w:p w14:paraId="5E9BA842" w14:textId="779331BF" w:rsidR="00B04190" w:rsidRDefault="00820962" w:rsidP="002952E7">
      <w:r>
        <w:t>T</w:t>
      </w:r>
      <w:r w:rsidRPr="00A16B64">
        <w:t>his report analyzes trends in faculty salaries for the 2023-24 academic year, examining differences by rank, gender, institution type, sector, and collective bargaining status. A review of the economic impact on academia during 2024-25 will be available in early 2026.</w:t>
      </w:r>
    </w:p>
    <w:p w14:paraId="61D9FC34" w14:textId="58844F09" w:rsidR="00B04190" w:rsidRPr="0052754D" w:rsidRDefault="00B04190" w:rsidP="00ED0FAA">
      <w:pPr>
        <w:pStyle w:val="Heading2"/>
      </w:pPr>
      <w:r w:rsidRPr="0052754D">
        <w:t>Faculty: Where They Teach, and How They Distribute Across Ranks and Tenure</w:t>
      </w:r>
    </w:p>
    <w:p w14:paraId="5FE95447" w14:textId="135EB81C" w:rsidR="00B04190" w:rsidRPr="0052754D" w:rsidRDefault="00B04190" w:rsidP="002952E7">
      <w:r w:rsidRPr="00F16A3C">
        <w:t xml:space="preserve">In 2023-24, a total of 600,098 full-time faculty were employed across 2,942 public and private nonprofit colleges and universities nationwide. While this reflects an increase of 2,095 faculty members </w:t>
      </w:r>
      <w:r w:rsidR="00570E97" w:rsidRPr="00F16A3C">
        <w:t>from</w:t>
      </w:r>
      <w:r w:rsidRPr="00F16A3C">
        <w:t xml:space="preserve"> 2022-23, the growth remains under 1 percent. </w:t>
      </w:r>
      <w:r>
        <w:t>At the same time</w:t>
      </w:r>
      <w:r w:rsidRPr="00F16A3C">
        <w:t xml:space="preserve">, student enrollment rose </w:t>
      </w:r>
      <w:r w:rsidR="00570E97">
        <w:t xml:space="preserve">by </w:t>
      </w:r>
      <w:r w:rsidRPr="00F16A3C">
        <w:t>2.5 percent between fall 2022 and fall 2023.</w:t>
      </w:r>
      <w:r w:rsidRPr="0052754D">
        <w:rPr>
          <w:rStyle w:val="EndnoteReference"/>
        </w:rPr>
        <w:endnoteReference w:id="2"/>
      </w:r>
      <w:r w:rsidRPr="0052754D">
        <w:t xml:space="preserve"> </w:t>
      </w:r>
    </w:p>
    <w:p w14:paraId="413620A5" w14:textId="59991272" w:rsidR="00B04190" w:rsidRDefault="00B04190" w:rsidP="00ED0FAA">
      <w:r w:rsidRPr="00F16A3C">
        <w:t>The distribution of faculty by rank and institution type has remained steady, as it has for decades.</w:t>
      </w:r>
      <w:r w:rsidRPr="0052754D">
        <w:t xml:space="preserve"> In </w:t>
      </w:r>
      <w:r>
        <w:t>2023-24</w:t>
      </w:r>
      <w:r w:rsidRPr="0052754D">
        <w:t>, 7-in-10 faculty taught in public institutions</w:t>
      </w:r>
      <w:r>
        <w:t xml:space="preserve"> (69 percent)</w:t>
      </w:r>
      <w:r w:rsidRPr="0052754D">
        <w:t xml:space="preserve">, with </w:t>
      </w:r>
      <w:r>
        <w:t xml:space="preserve">nearly half </w:t>
      </w:r>
      <w:r w:rsidRPr="0052754D">
        <w:t xml:space="preserve">in public research universities and </w:t>
      </w:r>
      <w:r>
        <w:t xml:space="preserve">one-fifth </w:t>
      </w:r>
      <w:r w:rsidRPr="0052754D">
        <w:t xml:space="preserve">in community colleges (Figure 3); </w:t>
      </w:r>
      <w:r>
        <w:t>just over one-fifth taught</w:t>
      </w:r>
      <w:r w:rsidRPr="0052754D">
        <w:t xml:space="preserve"> in private research universities. The remaining 15 percent of faculty are spread across public and private </w:t>
      </w:r>
      <w:r w:rsidR="00F02041">
        <w:t>baccalaureate</w:t>
      </w:r>
      <w:r w:rsidRPr="0052754D">
        <w:t xml:space="preserve"> and comprehensive institutions, and private 2-year institutions. </w:t>
      </w:r>
    </w:p>
    <w:p w14:paraId="26B8D664" w14:textId="18AB39FE" w:rsidR="00820962" w:rsidRPr="0052754D" w:rsidRDefault="00820962" w:rsidP="00ED0FAA">
      <w:r>
        <w:rPr>
          <w:noProof/>
        </w:rPr>
        <w:drawing>
          <wp:inline distT="0" distB="0" distL="0" distR="0" wp14:anchorId="7BDC7C7E" wp14:editId="66FD48E2">
            <wp:extent cx="5527964" cy="2635823"/>
            <wp:effectExtent l="0" t="0" r="0" b="6350"/>
            <wp:docPr id="1370403317" name="Picture 6" descr="A chart of a pi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403317" name="Picture 6" descr="A chart of a pie chart&#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5584994" cy="2663016"/>
                    </a:xfrm>
                    <a:prstGeom prst="rect">
                      <a:avLst/>
                    </a:prstGeom>
                  </pic:spPr>
                </pic:pic>
              </a:graphicData>
            </a:graphic>
          </wp:inline>
        </w:drawing>
      </w:r>
    </w:p>
    <w:p w14:paraId="1C7F9A69" w14:textId="7F346303" w:rsidR="00B04190" w:rsidRPr="0052754D" w:rsidRDefault="00B04190" w:rsidP="00ED0FAA">
      <w:r w:rsidRPr="00B04190">
        <w:t xml:space="preserve">By rank, more than 7 in 10 faculty members (71 percent) </w:t>
      </w:r>
      <w:r>
        <w:t>we</w:t>
      </w:r>
      <w:r w:rsidRPr="00B04190">
        <w:t xml:space="preserve">re full, associate, or assistant professors—those most likely to have tenure or be on the tenure track. Among them, 27 percent </w:t>
      </w:r>
      <w:r>
        <w:t>we</w:t>
      </w:r>
      <w:r w:rsidRPr="00B04190">
        <w:t xml:space="preserve">re full professors, while 22 percent </w:t>
      </w:r>
      <w:r>
        <w:t>we</w:t>
      </w:r>
      <w:r w:rsidRPr="00B04190">
        <w:t>re assistant or associate professors</w:t>
      </w:r>
      <w:r>
        <w:t xml:space="preserve">. </w:t>
      </w:r>
      <w:r w:rsidRPr="00F16A3C">
        <w:t>Nearly half of the remaining 29 percent of faculty were instructors</w:t>
      </w:r>
      <w:r w:rsidR="00A35758">
        <w:t xml:space="preserve">, </w:t>
      </w:r>
      <w:r w:rsidRPr="00F16A3C">
        <w:t xml:space="preserve">13 percent, while 8 percent were </w:t>
      </w:r>
      <w:proofErr w:type="gramStart"/>
      <w:r w:rsidRPr="00F16A3C">
        <w:t>lecturers</w:t>
      </w:r>
      <w:proofErr w:type="gramEnd"/>
      <w:r w:rsidRPr="00F16A3C">
        <w:t xml:space="preserve"> and another 8 percent held faculty positions with no rank.</w:t>
      </w:r>
    </w:p>
    <w:p w14:paraId="15E8A7B1" w14:textId="17C759A9" w:rsidR="00B04190" w:rsidRPr="0052754D" w:rsidRDefault="00B04190" w:rsidP="00030A9E">
      <w:r w:rsidRPr="0052754D">
        <w:t xml:space="preserve">Also remaining consistent over time, the majority of faculty (83 percent) </w:t>
      </w:r>
      <w:r w:rsidR="00A35758">
        <w:t xml:space="preserve">taught </w:t>
      </w:r>
      <w:r w:rsidRPr="0052754D">
        <w:t>with 9/10-month contracts; the remaining share work</w:t>
      </w:r>
      <w:r>
        <w:t>ed</w:t>
      </w:r>
      <w:r w:rsidRPr="0052754D">
        <w:t xml:space="preserve"> on 11/12-month contracts.</w:t>
      </w:r>
      <w:r>
        <w:rPr>
          <w:rStyle w:val="EndnoteReference"/>
        </w:rPr>
        <w:endnoteReference w:id="3"/>
      </w:r>
      <w:r w:rsidRPr="0052754D">
        <w:t xml:space="preserve"> Note that the distributions in Figure 3 reflect only full-time faculty. </w:t>
      </w:r>
      <w:r w:rsidRPr="00B04190">
        <w:t>Overall, faculty were nearly evenly split between full-time (51 percent) and part-time (49 percent) positions.</w:t>
      </w:r>
      <w:r w:rsidRPr="0052754D">
        <w:t xml:space="preserve"> </w:t>
      </w:r>
    </w:p>
    <w:p w14:paraId="6BC7BAF8" w14:textId="784868BF" w:rsidR="00820962" w:rsidRPr="0052754D" w:rsidRDefault="00820962" w:rsidP="004A06F8">
      <w:r>
        <w:rPr>
          <w:noProof/>
        </w:rPr>
        <w:lastRenderedPageBreak/>
        <w:drawing>
          <wp:anchor distT="0" distB="0" distL="114300" distR="114300" simplePos="0" relativeHeight="251713024" behindDoc="0" locked="0" layoutInCell="1" allowOverlap="1" wp14:anchorId="09C1ED34" wp14:editId="60E43F7C">
            <wp:simplePos x="0" y="0"/>
            <wp:positionH relativeFrom="column">
              <wp:posOffset>0</wp:posOffset>
            </wp:positionH>
            <wp:positionV relativeFrom="paragraph">
              <wp:posOffset>1905</wp:posOffset>
            </wp:positionV>
            <wp:extent cx="3860800" cy="2809240"/>
            <wp:effectExtent l="0" t="0" r="0" b="0"/>
            <wp:wrapSquare wrapText="bothSides"/>
            <wp:docPr id="460320486" name="Picture 7" descr="A graph of a number of individu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320486" name="Picture 7" descr="A graph of a number of individuals&#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3860800" cy="2809240"/>
                    </a:xfrm>
                    <a:prstGeom prst="rect">
                      <a:avLst/>
                    </a:prstGeom>
                  </pic:spPr>
                </pic:pic>
              </a:graphicData>
            </a:graphic>
            <wp14:sizeRelH relativeFrom="page">
              <wp14:pctWidth>0</wp14:pctWidth>
            </wp14:sizeRelH>
            <wp14:sizeRelV relativeFrom="page">
              <wp14:pctHeight>0</wp14:pctHeight>
            </wp14:sizeRelV>
          </wp:anchor>
        </w:drawing>
      </w:r>
      <w:r w:rsidR="00B04190" w:rsidRPr="0052754D">
        <w:t>On average, 61 percent of faculty teaching in public institutions and 5</w:t>
      </w:r>
      <w:r w:rsidR="00B04190">
        <w:t>5</w:t>
      </w:r>
      <w:r w:rsidR="00B04190" w:rsidRPr="0052754D">
        <w:t xml:space="preserve"> percent in private institutions ha</w:t>
      </w:r>
      <w:r w:rsidR="00B04190">
        <w:t>d</w:t>
      </w:r>
      <w:r w:rsidR="00B04190" w:rsidRPr="0052754D">
        <w:t xml:space="preserve"> tenure or </w:t>
      </w:r>
      <w:r w:rsidR="00B04190">
        <w:t>we</w:t>
      </w:r>
      <w:r w:rsidR="00B04190" w:rsidRPr="0052754D">
        <w:t xml:space="preserve">re on tenure track (Figure 4). Faculty in public comprehensive institutions </w:t>
      </w:r>
      <w:r w:rsidR="00B04190">
        <w:t>we</w:t>
      </w:r>
      <w:r w:rsidR="00B04190" w:rsidRPr="0052754D">
        <w:t>re the most likely to have tenure or be on track, over three-quarters</w:t>
      </w:r>
      <w:r w:rsidR="0003585E">
        <w:t xml:space="preserve"> (77 percent)</w:t>
      </w:r>
      <w:r w:rsidR="00B04190" w:rsidRPr="0052754D">
        <w:t xml:space="preserve">. </w:t>
      </w:r>
      <w:r w:rsidR="00B04190">
        <w:t>Two-thirds</w:t>
      </w:r>
      <w:r w:rsidR="00B04190" w:rsidRPr="0052754D">
        <w:t xml:space="preserve"> of faculty</w:t>
      </w:r>
      <w:r w:rsidR="003678E6">
        <w:t xml:space="preserve"> (</w:t>
      </w:r>
      <w:r w:rsidR="00B04190">
        <w:t>66 percent</w:t>
      </w:r>
      <w:r w:rsidR="003678E6">
        <w:t>)</w:t>
      </w:r>
      <w:r w:rsidR="00B04190">
        <w:t xml:space="preserve"> </w:t>
      </w:r>
      <w:r w:rsidR="00B04190" w:rsidRPr="0052754D">
        <w:t xml:space="preserve">in public baccalaureate and </w:t>
      </w:r>
      <w:r w:rsidR="00B04190">
        <w:t xml:space="preserve">62 percent in public </w:t>
      </w:r>
      <w:r w:rsidR="00B04190" w:rsidRPr="0052754D">
        <w:t>research universities ha</w:t>
      </w:r>
      <w:r w:rsidR="00B04190">
        <w:t>d</w:t>
      </w:r>
      <w:r w:rsidR="00B04190" w:rsidRPr="0052754D">
        <w:t xml:space="preserve"> tenure or </w:t>
      </w:r>
      <w:r w:rsidR="00B04190">
        <w:t>we</w:t>
      </w:r>
      <w:r w:rsidR="00B04190" w:rsidRPr="0052754D">
        <w:t xml:space="preserve">re on track. Among public institutions, community college faculty </w:t>
      </w:r>
      <w:r w:rsidR="003678E6">
        <w:t>we</w:t>
      </w:r>
      <w:r w:rsidR="00B04190" w:rsidRPr="0052754D">
        <w:t>re the least likely to have tenure or be on track</w:t>
      </w:r>
      <w:r w:rsidR="00B04190">
        <w:t>,</w:t>
      </w:r>
      <w:r w:rsidR="00B04190" w:rsidRPr="0052754D">
        <w:t xml:space="preserve"> 5</w:t>
      </w:r>
      <w:r w:rsidR="00B04190">
        <w:t>3</w:t>
      </w:r>
      <w:r w:rsidR="00B04190" w:rsidRPr="0052754D">
        <w:t xml:space="preserve"> percent. </w:t>
      </w:r>
      <w:r>
        <w:t xml:space="preserve">(See Figure 4.) </w:t>
      </w:r>
      <w:r w:rsidR="00B04190" w:rsidRPr="0052754D">
        <w:t xml:space="preserve">Among private 4-year institutions, faculty in baccalaureate institutions </w:t>
      </w:r>
      <w:r w:rsidR="003678E6">
        <w:t>we</w:t>
      </w:r>
      <w:r w:rsidR="00B04190" w:rsidRPr="0052754D">
        <w:t>re the most likely to have tenure or be on track, 6</w:t>
      </w:r>
      <w:r w:rsidR="00B04190">
        <w:t>4</w:t>
      </w:r>
      <w:r w:rsidR="00B04190" w:rsidRPr="0052754D">
        <w:t xml:space="preserve"> percent. Fewer faculty in private comprehensive or research universities ha</w:t>
      </w:r>
      <w:r w:rsidR="0003585E">
        <w:t>d</w:t>
      </w:r>
      <w:r w:rsidR="00B04190" w:rsidRPr="0052754D">
        <w:t xml:space="preserve"> tenure or </w:t>
      </w:r>
      <w:r w:rsidR="003678E6">
        <w:t>we</w:t>
      </w:r>
      <w:r w:rsidR="00B04190" w:rsidRPr="0052754D">
        <w:t>re on track</w:t>
      </w:r>
      <w:r w:rsidR="0003585E">
        <w:t xml:space="preserve"> compared with </w:t>
      </w:r>
      <w:r w:rsidR="00B04190" w:rsidRPr="0052754D">
        <w:t xml:space="preserve">their colleagues in the public sector. </w:t>
      </w:r>
      <w:r w:rsidR="003678E6">
        <w:t xml:space="preserve">Notably, </w:t>
      </w:r>
      <w:r w:rsidR="000F55A5" w:rsidRPr="003678E6">
        <w:t>only 6 percent of faculty had tenure or were on track</w:t>
      </w:r>
      <w:r w:rsidR="000F55A5">
        <w:t xml:space="preserve"> </w:t>
      </w:r>
      <w:r w:rsidR="0003585E">
        <w:t xml:space="preserve">in </w:t>
      </w:r>
      <w:r w:rsidR="003678E6" w:rsidRPr="003678E6">
        <w:t>the private 2-year sector</w:t>
      </w:r>
      <w:r w:rsidR="000F55A5">
        <w:t xml:space="preserve">, but this sector </w:t>
      </w:r>
      <w:r w:rsidR="003678E6" w:rsidRPr="003678E6">
        <w:t>accounted for just 1 percent of institutions.</w:t>
      </w:r>
      <w:r w:rsidRPr="00820962">
        <w:rPr>
          <w:noProof/>
        </w:rPr>
        <w:t xml:space="preserve"> </w:t>
      </w:r>
      <w:r>
        <w:rPr>
          <w:noProof/>
        </w:rPr>
        <w:drawing>
          <wp:anchor distT="0" distB="0" distL="114300" distR="114300" simplePos="0" relativeHeight="251733504" behindDoc="0" locked="0" layoutInCell="1" allowOverlap="1" wp14:anchorId="41FBFC5D" wp14:editId="7B0D6428">
            <wp:simplePos x="0" y="0"/>
            <wp:positionH relativeFrom="column">
              <wp:posOffset>2654300</wp:posOffset>
            </wp:positionH>
            <wp:positionV relativeFrom="paragraph">
              <wp:posOffset>4330700</wp:posOffset>
            </wp:positionV>
            <wp:extent cx="4203065" cy="2717800"/>
            <wp:effectExtent l="0" t="0" r="635" b="0"/>
            <wp:wrapSquare wrapText="bothSides"/>
            <wp:docPr id="749859105" name="Picture 9" descr="A graph of a number of individu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770662" name="Picture 9" descr="A graph of a number of individuals&#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4203065" cy="2717800"/>
                    </a:xfrm>
                    <a:prstGeom prst="rect">
                      <a:avLst/>
                    </a:prstGeom>
                  </pic:spPr>
                </pic:pic>
              </a:graphicData>
            </a:graphic>
            <wp14:sizeRelH relativeFrom="page">
              <wp14:pctWidth>0</wp14:pctWidth>
            </wp14:sizeRelH>
            <wp14:sizeRelV relativeFrom="page">
              <wp14:pctHeight>0</wp14:pctHeight>
            </wp14:sizeRelV>
          </wp:anchor>
        </w:drawing>
      </w:r>
    </w:p>
    <w:p w14:paraId="23E464CD" w14:textId="5AF54293" w:rsidR="00B04190" w:rsidRDefault="00B04190" w:rsidP="0071069F">
      <w:pPr>
        <w:spacing w:after="0"/>
      </w:pPr>
      <w:r w:rsidRPr="0052754D">
        <w:t xml:space="preserve">Faculty working without tenure and not on tenure track hold a variety of different types of contracts—multi-year, indefinite, annual, or less-than-annual contracts. Non-tenured faculty in public 4-year institutions </w:t>
      </w:r>
      <w:r w:rsidR="0003585E">
        <w:t>we</w:t>
      </w:r>
      <w:r w:rsidRPr="0052754D">
        <w:t xml:space="preserve">re </w:t>
      </w:r>
      <w:r w:rsidR="0003585E">
        <w:t>4</w:t>
      </w:r>
      <w:r w:rsidRPr="0052754D">
        <w:t xml:space="preserve"> to 5 times more likely than those in community colleges to hold multi-year contracts</w:t>
      </w:r>
      <w:r w:rsidR="0003585E">
        <w:t xml:space="preserve"> (Figure 5)</w:t>
      </w:r>
      <w:r w:rsidRPr="0052754D">
        <w:t xml:space="preserve">. Annual contracts </w:t>
      </w:r>
      <w:r w:rsidR="0003585E">
        <w:t>we</w:t>
      </w:r>
      <w:r w:rsidRPr="0052754D">
        <w:t>re the most frequent, regardless of institution level, but three-quarters of community college faculty h</w:t>
      </w:r>
      <w:r w:rsidR="0003585E">
        <w:t>e</w:t>
      </w:r>
      <w:r w:rsidRPr="0052754D">
        <w:t xml:space="preserve">ld annual contracts compared to about </w:t>
      </w:r>
      <w:r>
        <w:t xml:space="preserve">half </w:t>
      </w:r>
      <w:r w:rsidRPr="0052754D">
        <w:t xml:space="preserve">of non-tenured faculty in 4-year institutions. </w:t>
      </w:r>
      <w:r w:rsidR="0003585E" w:rsidRPr="0003585E">
        <w:t>About 1</w:t>
      </w:r>
      <w:r w:rsidR="0003585E">
        <w:t>-</w:t>
      </w:r>
      <w:r w:rsidR="0003585E" w:rsidRPr="0003585E">
        <w:t>in</w:t>
      </w:r>
      <w:r w:rsidR="0003585E">
        <w:t>-</w:t>
      </w:r>
      <w:r w:rsidR="0003585E" w:rsidRPr="0003585E">
        <w:t>10 non-tenured faculty at community colleges ha</w:t>
      </w:r>
      <w:r w:rsidR="00A35758">
        <w:t>d</w:t>
      </w:r>
      <w:r w:rsidR="0003585E" w:rsidRPr="0003585E">
        <w:t xml:space="preserve"> contracts shorter than a year, while 6 percent or fewer faculty at 4-year institutions ha</w:t>
      </w:r>
      <w:r w:rsidR="00A35758">
        <w:t>d</w:t>
      </w:r>
      <w:r w:rsidR="0003585E" w:rsidRPr="0003585E">
        <w:t xml:space="preserve"> such contracts.</w:t>
      </w:r>
      <w:r w:rsidRPr="0052754D">
        <w:t xml:space="preserve"> Except in public baccalaureate institutions (1 percent of faculty), 8 percent of non-tenured faculty </w:t>
      </w:r>
      <w:r w:rsidR="0003585E">
        <w:t>were employed</w:t>
      </w:r>
      <w:r w:rsidR="0003585E" w:rsidRPr="0052754D">
        <w:t xml:space="preserve"> </w:t>
      </w:r>
      <w:r w:rsidRPr="0052754D">
        <w:t xml:space="preserve">with indefinite contracts. </w:t>
      </w:r>
    </w:p>
    <w:p w14:paraId="56799711" w14:textId="713C98C1" w:rsidR="00820962" w:rsidRPr="0052754D" w:rsidRDefault="00820962" w:rsidP="0071069F">
      <w:pPr>
        <w:spacing w:after="0"/>
      </w:pPr>
    </w:p>
    <w:p w14:paraId="2DAEEED3" w14:textId="7073FB7C" w:rsidR="00B04190" w:rsidRPr="0052754D" w:rsidRDefault="00B04190" w:rsidP="0078602C">
      <w:pPr>
        <w:pStyle w:val="Heading2"/>
      </w:pPr>
      <w:r w:rsidRPr="0052754D">
        <w:t>Faculty Salaries, 202</w:t>
      </w:r>
      <w:r>
        <w:t>3</w:t>
      </w:r>
      <w:r w:rsidRPr="0052754D">
        <w:t>-202</w:t>
      </w:r>
      <w:r>
        <w:t>4</w:t>
      </w:r>
    </w:p>
    <w:p w14:paraId="10479084" w14:textId="0E07FA31" w:rsidR="00A35758" w:rsidRDefault="00B04190" w:rsidP="002A0C83">
      <w:r w:rsidRPr="0052754D">
        <w:t xml:space="preserve">No one is a stranger to COVID-era inflation. The cost of food, services, clothing, entertainment, housing – virtually everything – has increased noticeably. Nearly everyone, regardless of profession, has been </w:t>
      </w:r>
      <w:r w:rsidRPr="0052754D">
        <w:lastRenderedPageBreak/>
        <w:t>affected by the high inflation rate and has experienced a decrease in purchasing power</w:t>
      </w:r>
      <w:r w:rsidR="002A2248">
        <w:t xml:space="preserve">, or </w:t>
      </w:r>
      <w:r w:rsidRPr="0052754D">
        <w:t xml:space="preserve">inflation-adjusted earnings. </w:t>
      </w:r>
    </w:p>
    <w:p w14:paraId="51BF6FC2" w14:textId="6315E13F" w:rsidR="00B04190" w:rsidRDefault="00B76F74" w:rsidP="002A0C83">
      <w:r>
        <w:t>E</w:t>
      </w:r>
      <w:r w:rsidR="00B04190" w:rsidRPr="0052754D">
        <w:t xml:space="preserve">mployers across the country raised salaries by </w:t>
      </w:r>
      <w:r>
        <w:t xml:space="preserve">3.8 </w:t>
      </w:r>
      <w:r w:rsidR="00B04190" w:rsidRPr="0052754D">
        <w:t>percent in 202</w:t>
      </w:r>
      <w:r>
        <w:t>4, a rate slightly higher than inflation</w:t>
      </w:r>
      <w:r w:rsidR="002A2248">
        <w:t xml:space="preserve"> (3.3 percent)</w:t>
      </w:r>
      <w:r w:rsidR="00B04190" w:rsidRPr="0052754D">
        <w:t>.</w:t>
      </w:r>
      <w:r w:rsidR="00B04190" w:rsidRPr="0052754D">
        <w:rPr>
          <w:rStyle w:val="EndnoteReference"/>
        </w:rPr>
        <w:endnoteReference w:id="4"/>
      </w:r>
      <w:r w:rsidR="00B04190" w:rsidRPr="0052754D">
        <w:t xml:space="preserve"> Faculty </w:t>
      </w:r>
      <w:r>
        <w:t xml:space="preserve">working on 9/10-month contracts </w:t>
      </w:r>
      <w:r w:rsidR="00B04190" w:rsidRPr="0052754D">
        <w:t xml:space="preserve">salaries also </w:t>
      </w:r>
      <w:r>
        <w:t xml:space="preserve">saw </w:t>
      </w:r>
      <w:r w:rsidR="002A2248">
        <w:t xml:space="preserve">a </w:t>
      </w:r>
      <w:r>
        <w:t>salar</w:t>
      </w:r>
      <w:r w:rsidR="002A2248">
        <w:t>y</w:t>
      </w:r>
      <w:r>
        <w:t xml:space="preserve"> </w:t>
      </w:r>
      <w:r w:rsidR="00B04190" w:rsidRPr="0052754D">
        <w:t>increase</w:t>
      </w:r>
      <w:r>
        <w:t xml:space="preserve"> of </w:t>
      </w:r>
      <w:r w:rsidR="00B04190">
        <w:t>4</w:t>
      </w:r>
      <w:r>
        <w:t>.2</w:t>
      </w:r>
      <w:r w:rsidR="00B04190" w:rsidRPr="0052754D">
        <w:t xml:space="preserve"> percent</w:t>
      </w:r>
      <w:r>
        <w:rPr>
          <w:rStyle w:val="EndnoteReference"/>
        </w:rPr>
        <w:endnoteReference w:id="5"/>
      </w:r>
      <w:r w:rsidRPr="0052754D">
        <w:t>,</w:t>
      </w:r>
      <w:r w:rsidR="00B04190" w:rsidRPr="0052754D">
        <w:t xml:space="preserve"> </w:t>
      </w:r>
      <w:r w:rsidR="000B797C">
        <w:t xml:space="preserve">on average, </w:t>
      </w:r>
      <w:r w:rsidR="00B04190" w:rsidRPr="0052754D">
        <w:t xml:space="preserve">and the average salary for faculty on 9/10-month contracts in </w:t>
      </w:r>
      <w:r w:rsidR="00B04190">
        <w:t>2023-24</w:t>
      </w:r>
      <w:r w:rsidR="00B04190" w:rsidRPr="0052754D">
        <w:t xml:space="preserve"> was $</w:t>
      </w:r>
      <w:r w:rsidR="00B04190">
        <w:t>101,955</w:t>
      </w:r>
      <w:r w:rsidR="000B797C">
        <w:t xml:space="preserve"> (Figure 6)</w:t>
      </w:r>
      <w:r w:rsidR="00B04190" w:rsidRPr="0052754D">
        <w:t xml:space="preserve">. </w:t>
      </w:r>
      <w:r>
        <w:t>W</w:t>
      </w:r>
      <w:r w:rsidR="00B04190" w:rsidRPr="0052754D">
        <w:t xml:space="preserve">ith </w:t>
      </w:r>
      <w:r w:rsidR="00B04190">
        <w:t>3</w:t>
      </w:r>
      <w:r w:rsidR="002A2248">
        <w:t>.3</w:t>
      </w:r>
      <w:r w:rsidR="00B04190">
        <w:t xml:space="preserve"> </w:t>
      </w:r>
      <w:r w:rsidR="00B04190" w:rsidRPr="0052754D">
        <w:t xml:space="preserve">percent inflation, purchasing power </w:t>
      </w:r>
      <w:r w:rsidR="00B04190">
        <w:t xml:space="preserve">rose </w:t>
      </w:r>
      <w:r w:rsidR="00B04190" w:rsidRPr="0052754D">
        <w:t xml:space="preserve">by </w:t>
      </w:r>
      <w:r w:rsidR="002A2248">
        <w:t xml:space="preserve">about </w:t>
      </w:r>
      <w:r w:rsidR="00B04190" w:rsidRPr="0052754D">
        <w:t>1 percent between 202</w:t>
      </w:r>
      <w:r w:rsidR="00B04190">
        <w:t>2</w:t>
      </w:r>
      <w:r w:rsidR="00B04190" w:rsidRPr="0052754D">
        <w:t>-2</w:t>
      </w:r>
      <w:r w:rsidR="00B04190">
        <w:t>3</w:t>
      </w:r>
      <w:r w:rsidR="00B04190" w:rsidRPr="0052754D">
        <w:t xml:space="preserve"> and </w:t>
      </w:r>
      <w:r w:rsidR="00B04190">
        <w:t>2023-24</w:t>
      </w:r>
      <w:r w:rsidR="00B04190" w:rsidRPr="0052754D">
        <w:t xml:space="preserve"> and faculty felt an effective </w:t>
      </w:r>
      <w:r w:rsidR="00A35758">
        <w:t xml:space="preserve">average </w:t>
      </w:r>
      <w:r w:rsidR="00B04190">
        <w:t xml:space="preserve">gain </w:t>
      </w:r>
      <w:r w:rsidR="00B04190" w:rsidRPr="0052754D">
        <w:t>of $</w:t>
      </w:r>
      <w:r w:rsidR="00B04190">
        <w:t>992</w:t>
      </w:r>
      <w:r w:rsidR="00B04190" w:rsidRPr="0052754D">
        <w:t xml:space="preserve">. </w:t>
      </w:r>
      <w:r w:rsidR="000B797C">
        <w:t xml:space="preserve">Across all faculty ranks, purchasing power increased over the last year, from less than one percent for full, associate, and assistant professors, to 2.8 percent for instructors, 2.6 percent for faculty with no rank, and 1.4 percent of lecturers. </w:t>
      </w:r>
    </w:p>
    <w:p w14:paraId="738B040F" w14:textId="00E95D2E" w:rsidR="00B04190" w:rsidRPr="0052754D" w:rsidRDefault="004A06F8" w:rsidP="005F4FBA">
      <w:r>
        <w:rPr>
          <w:noProof/>
        </w:rPr>
        <w:drawing>
          <wp:anchor distT="0" distB="0" distL="114300" distR="114300" simplePos="0" relativeHeight="251735552" behindDoc="1" locked="0" layoutInCell="1" allowOverlap="1" wp14:anchorId="13A84E28" wp14:editId="76CC0D5D">
            <wp:simplePos x="0" y="0"/>
            <wp:positionH relativeFrom="column">
              <wp:posOffset>0</wp:posOffset>
            </wp:positionH>
            <wp:positionV relativeFrom="paragraph">
              <wp:posOffset>1270</wp:posOffset>
            </wp:positionV>
            <wp:extent cx="2585428" cy="4222865"/>
            <wp:effectExtent l="0" t="0" r="5715" b="0"/>
            <wp:wrapTight wrapText="bothSides">
              <wp:wrapPolygon edited="0">
                <wp:start x="0" y="0"/>
                <wp:lineTo x="0" y="21503"/>
                <wp:lineTo x="21542" y="21503"/>
                <wp:lineTo x="21542" y="0"/>
                <wp:lineTo x="0" y="0"/>
              </wp:wrapPolygon>
            </wp:wrapTight>
            <wp:docPr id="1213705612" name="Picture 26" descr="A graph of the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705612" name="Picture 26" descr="A graph of the number of peopl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85428" cy="4222865"/>
                    </a:xfrm>
                    <a:prstGeom prst="rect">
                      <a:avLst/>
                    </a:prstGeom>
                  </pic:spPr>
                </pic:pic>
              </a:graphicData>
            </a:graphic>
            <wp14:sizeRelH relativeFrom="page">
              <wp14:pctWidth>0</wp14:pctWidth>
            </wp14:sizeRelH>
            <wp14:sizeRelV relativeFrom="page">
              <wp14:pctHeight>0</wp14:pctHeight>
            </wp14:sizeRelV>
          </wp:anchor>
        </w:drawing>
      </w:r>
      <w:r w:rsidR="00B04190" w:rsidRPr="0052754D">
        <w:t xml:space="preserve">Faculty purchasing power was at a historical high </w:t>
      </w:r>
      <w:r w:rsidR="000B797C">
        <w:t xml:space="preserve">in the </w:t>
      </w:r>
      <w:r w:rsidR="00B04190" w:rsidRPr="0052754D">
        <w:t xml:space="preserve">2019-20 academic year. Even though salaries increased in nominal dollars between 2019-20 and </w:t>
      </w:r>
      <w:r w:rsidR="00B04190">
        <w:t>2023-24</w:t>
      </w:r>
      <w:r w:rsidR="00B04190" w:rsidRPr="0052754D">
        <w:t xml:space="preserve">, the high inflation </w:t>
      </w:r>
      <w:r w:rsidR="000B797C">
        <w:t xml:space="preserve">in the early 2020s </w:t>
      </w:r>
      <w:r w:rsidR="00B04190" w:rsidRPr="0052754D">
        <w:t xml:space="preserve">resulted in all faculty ranks losing significant purchasing power. </w:t>
      </w:r>
      <w:r w:rsidR="000B797C" w:rsidRPr="000B797C">
        <w:t>Professors experienced the largest losses, both in magnitude (over $12,000) and percentage (8 percent)</w:t>
      </w:r>
      <w:r w:rsidR="000B797C">
        <w:t xml:space="preserve">; </w:t>
      </w:r>
      <w:r w:rsidR="000B797C" w:rsidRPr="000B797C">
        <w:t>associate and assistant professors also saw an 8 percent decrease</w:t>
      </w:r>
      <w:r w:rsidR="000B797C">
        <w:t xml:space="preserve"> in purchasing power, losing about $8,000 and $7,000, respectively</w:t>
      </w:r>
      <w:r w:rsidR="000B797C" w:rsidRPr="000B797C">
        <w:t xml:space="preserve">. Faculty </w:t>
      </w:r>
      <w:r w:rsidR="000B797C">
        <w:t xml:space="preserve">teaching with no </w:t>
      </w:r>
      <w:r w:rsidR="000B797C" w:rsidRPr="000B797C">
        <w:t>rank lost 7 percent</w:t>
      </w:r>
      <w:r w:rsidR="000B797C">
        <w:t xml:space="preserve"> (about $2,000)</w:t>
      </w:r>
      <w:r w:rsidR="000B797C" w:rsidRPr="000B797C">
        <w:t>, while instructors and lecturers each experienced 4 percent decline</w:t>
      </w:r>
      <w:r w:rsidR="002A2248">
        <w:t>s</w:t>
      </w:r>
      <w:r w:rsidR="000B797C">
        <w:t xml:space="preserve"> (</w:t>
      </w:r>
      <w:r w:rsidR="00F02041">
        <w:t>$2,000 and $1,000, respectively)</w:t>
      </w:r>
      <w:r w:rsidR="000B797C" w:rsidRPr="000B797C">
        <w:t>.</w:t>
      </w:r>
    </w:p>
    <w:p w14:paraId="6EDEC4B7" w14:textId="77777777" w:rsidR="00820962" w:rsidRDefault="00B04190" w:rsidP="00555C10">
      <w:r w:rsidRPr="0052754D">
        <w:rPr>
          <w:b/>
          <w:bCs/>
        </w:rPr>
        <w:t>Sector and Academic Rank</w:t>
      </w:r>
      <w:r w:rsidRPr="0052754D">
        <w:t>. Salary is correlated with academic rank: in the public sector, historically, associate professors earn</w:t>
      </w:r>
      <w:r w:rsidR="00F02041">
        <w:t>ed</w:t>
      </w:r>
      <w:r w:rsidRPr="0052754D">
        <w:t xml:space="preserve"> about three-quarters of full professors’ earnings, assistant professors earn</w:t>
      </w:r>
      <w:r w:rsidR="00F02041">
        <w:t>ed</w:t>
      </w:r>
      <w:r w:rsidRPr="0052754D">
        <w:t xml:space="preserve"> about two-thirds, and instructors, lecturers, and faculty with no rank earn slightly more than one-half. </w:t>
      </w:r>
      <w:r w:rsidR="00F02041" w:rsidRPr="00F02041">
        <w:t xml:space="preserve">These trends continued in 2023-24, with professors at public institutions earning an average of </w:t>
      </w:r>
      <w:r w:rsidR="00CC7A1D">
        <w:t xml:space="preserve">about </w:t>
      </w:r>
      <w:r w:rsidR="00F02041" w:rsidRPr="00F02041">
        <w:t>$127,000, associates earning $95,000, assistants earning $83,000, and instructors, lecturers, and faculty without rank all earning similar averages of around $70,000</w:t>
      </w:r>
      <w:r w:rsidR="00F02041" w:rsidRPr="00F02041" w:rsidDel="00F02041">
        <w:t xml:space="preserve"> </w:t>
      </w:r>
      <w:r w:rsidRPr="0052754D">
        <w:t xml:space="preserve">(Figure 7). In the private sector, due to the very high earnings of full professors, the ratios are a bit smaller.  </w:t>
      </w:r>
    </w:p>
    <w:p w14:paraId="47243635" w14:textId="7D8DCBE8" w:rsidR="00B04190" w:rsidRPr="0052754D" w:rsidRDefault="00820962" w:rsidP="00555C10">
      <w:r>
        <w:rPr>
          <w:noProof/>
        </w:rPr>
        <w:lastRenderedPageBreak/>
        <w:drawing>
          <wp:anchor distT="0" distB="0" distL="114300" distR="114300" simplePos="0" relativeHeight="251722240" behindDoc="0" locked="0" layoutInCell="1" allowOverlap="1" wp14:anchorId="3156D401" wp14:editId="1EBDEA23">
            <wp:simplePos x="0" y="0"/>
            <wp:positionH relativeFrom="column">
              <wp:posOffset>0</wp:posOffset>
            </wp:positionH>
            <wp:positionV relativeFrom="paragraph">
              <wp:posOffset>0</wp:posOffset>
            </wp:positionV>
            <wp:extent cx="3350975" cy="4114800"/>
            <wp:effectExtent l="0" t="0" r="1905" b="0"/>
            <wp:wrapSquare wrapText="bothSides"/>
            <wp:docPr id="2133183651" name="Picture 23" descr="A graph of a number of individu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183651" name="Picture 23" descr="A graph of a number of individuals&#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50975" cy="4114800"/>
                    </a:xfrm>
                    <a:prstGeom prst="rect">
                      <a:avLst/>
                    </a:prstGeom>
                  </pic:spPr>
                </pic:pic>
              </a:graphicData>
            </a:graphic>
            <wp14:sizeRelH relativeFrom="page">
              <wp14:pctWidth>0</wp14:pctWidth>
            </wp14:sizeRelH>
            <wp14:sizeRelV relativeFrom="page">
              <wp14:pctHeight>0</wp14:pctHeight>
            </wp14:sizeRelV>
          </wp:anchor>
        </w:drawing>
      </w:r>
      <w:r w:rsidR="00B04190" w:rsidRPr="0052754D">
        <w:t>Institution level also makes a difference. Faculty teaching in community colleges earn</w:t>
      </w:r>
      <w:r w:rsidR="00F02041">
        <w:t>ed</w:t>
      </w:r>
      <w:r w:rsidR="00B04190" w:rsidRPr="0052754D">
        <w:t xml:space="preserve"> about 7</w:t>
      </w:r>
      <w:r w:rsidR="00F02041">
        <w:t>6</w:t>
      </w:r>
      <w:r w:rsidR="00B04190" w:rsidRPr="0052754D">
        <w:t xml:space="preserve"> cents to the dollar of faculty in public research universities; those in public </w:t>
      </w:r>
      <w:r w:rsidR="00F02041">
        <w:t>comprehensive and baccalaureate</w:t>
      </w:r>
      <w:r w:rsidR="00B04190" w:rsidRPr="0052754D">
        <w:t xml:space="preserve"> institutions earn</w:t>
      </w:r>
      <w:r w:rsidR="00F02041">
        <w:t>ed</w:t>
      </w:r>
      <w:r w:rsidR="00B04190" w:rsidRPr="0052754D">
        <w:t xml:space="preserve"> 78 to 8</w:t>
      </w:r>
      <w:r w:rsidR="00B04190">
        <w:t>0</w:t>
      </w:r>
      <w:r w:rsidR="00B04190" w:rsidRPr="0052754D">
        <w:t xml:space="preserve"> cents to the dollar earned by faculty in research universities. These relative earnings levels have persisted over time as well.</w:t>
      </w:r>
    </w:p>
    <w:p w14:paraId="034BFE06" w14:textId="77777777" w:rsidR="002E41CB" w:rsidRDefault="00B04190" w:rsidP="005F4FBA">
      <w:r w:rsidRPr="0052754D">
        <w:t>On average, faculty teaching in private institutions earn</w:t>
      </w:r>
      <w:r w:rsidR="00F02041">
        <w:t>ed</w:t>
      </w:r>
      <w:r w:rsidRPr="0052754D">
        <w:t xml:space="preserve"> more than those in public institutions, $1</w:t>
      </w:r>
      <w:r>
        <w:t>11</w:t>
      </w:r>
      <w:r w:rsidRPr="0052754D">
        <w:t>,000 compared with $9</w:t>
      </w:r>
      <w:r>
        <w:t>8</w:t>
      </w:r>
      <w:r w:rsidRPr="0052754D">
        <w:t xml:space="preserve">,000, for a $13,000 difference in </w:t>
      </w:r>
      <w:r>
        <w:t>2023-24</w:t>
      </w:r>
      <w:r w:rsidRPr="0052754D">
        <w:t>. This differential has persisted over time</w:t>
      </w:r>
      <w:r w:rsidR="00F02041">
        <w:t>. At p</w:t>
      </w:r>
      <w:r w:rsidRPr="0052754D">
        <w:t>ublic</w:t>
      </w:r>
      <w:r w:rsidR="00F02041">
        <w:t xml:space="preserve"> institutions,</w:t>
      </w:r>
      <w:r w:rsidRPr="0052754D">
        <w:t xml:space="preserve"> instructors and those teaching in comprehensive institutions ha</w:t>
      </w:r>
      <w:r w:rsidR="00074BAF">
        <w:t>d</w:t>
      </w:r>
      <w:r w:rsidRPr="0052754D">
        <w:t xml:space="preserve"> a very slight advantage over those in private institutions. Due to the high earnings in the professorial rank, private institution professors’ earnings </w:t>
      </w:r>
      <w:r w:rsidR="00074BAF">
        <w:t>wer</w:t>
      </w:r>
      <w:r w:rsidRPr="0052754D">
        <w:t>e about $2</w:t>
      </w:r>
      <w:r>
        <w:t>8</w:t>
      </w:r>
      <w:r w:rsidRPr="0052754D">
        <w:t>,000 higher than those in public institutions, for a 22 percent difference</w:t>
      </w:r>
      <w:r w:rsidR="00074BAF">
        <w:t>. F</w:t>
      </w:r>
      <w:r w:rsidRPr="0052754D">
        <w:t>aculty with no rank in private institutions</w:t>
      </w:r>
      <w:r w:rsidR="00074BAF">
        <w:t xml:space="preserve"> also had a </w:t>
      </w:r>
      <w:r>
        <w:t>2</w:t>
      </w:r>
      <w:r w:rsidR="00074BAF">
        <w:t>2</w:t>
      </w:r>
      <w:r>
        <w:t xml:space="preserve"> percent </w:t>
      </w:r>
      <w:r w:rsidRPr="0052754D">
        <w:t xml:space="preserve">advantage over those in public. </w:t>
      </w:r>
    </w:p>
    <w:p w14:paraId="732862D9" w14:textId="596F179C" w:rsidR="00B04190" w:rsidRPr="0052754D" w:rsidRDefault="00B04190" w:rsidP="005F4FBA">
      <w:r w:rsidRPr="0052754D">
        <w:t>By institution type, faculty in research universities at private institutions ha</w:t>
      </w:r>
      <w:r w:rsidR="00CC7A1D">
        <w:t>d</w:t>
      </w:r>
      <w:r w:rsidRPr="0052754D">
        <w:t xml:space="preserve"> a $1</w:t>
      </w:r>
      <w:r>
        <w:t>5</w:t>
      </w:r>
      <w:r w:rsidRPr="0052754D">
        <w:t>,000, or 1</w:t>
      </w:r>
      <w:r>
        <w:t>4</w:t>
      </w:r>
      <w:r w:rsidRPr="0052754D">
        <w:t xml:space="preserve"> percent, earnings advantage over those in public universities.</w:t>
      </w:r>
      <w:r>
        <w:t xml:space="preserve"> </w:t>
      </w:r>
      <w:r w:rsidR="00074BAF" w:rsidRPr="00074BAF">
        <w:t>Faculty at public two-year colleges had a salary advantage, earning 17 percent more than their counterparts at private institutions. However, the private two-year sector is very small, comprising only 1 percent of faculty.</w:t>
      </w:r>
      <w:r w:rsidR="00074BAF">
        <w:t xml:space="preserve"> F</w:t>
      </w:r>
      <w:r w:rsidR="00074BAF" w:rsidRPr="00074BAF">
        <w:t>aculty teaching at public comprehensive institutions had a slight salary advantage, earning 2 percent more on average than their counterparts at private institutions.</w:t>
      </w:r>
    </w:p>
    <w:p w14:paraId="6D0964E1" w14:textId="1BF720A2" w:rsidR="00B04190" w:rsidRDefault="00B04190" w:rsidP="00C37056">
      <w:r w:rsidRPr="0052754D">
        <w:rPr>
          <w:b/>
          <w:bCs/>
        </w:rPr>
        <w:t>The Gender Wage Gap Persists</w:t>
      </w:r>
      <w:r w:rsidRPr="0052754D">
        <w:t>. Nationally, women earned 8</w:t>
      </w:r>
      <w:r w:rsidR="00AB31EC">
        <w:t>4</w:t>
      </w:r>
      <w:r w:rsidRPr="0052754D">
        <w:t xml:space="preserve"> cents to a man’s dollar earned in 202</w:t>
      </w:r>
      <w:r w:rsidR="00AB31EC">
        <w:t>3</w:t>
      </w:r>
      <w:r w:rsidRPr="0052754D">
        <w:t>.</w:t>
      </w:r>
      <w:r w:rsidRPr="0052754D">
        <w:rPr>
          <w:rStyle w:val="EndnoteReference"/>
        </w:rPr>
        <w:endnoteReference w:id="6"/>
      </w:r>
      <w:r w:rsidRPr="0052754D">
        <w:t xml:space="preserve"> It is slightly better in academe, where, on average, women teaching in public institutions earn</w:t>
      </w:r>
      <w:r w:rsidR="00AB31EC">
        <w:t>ed</w:t>
      </w:r>
      <w:r w:rsidRPr="0052754D">
        <w:t xml:space="preserve"> 8</w:t>
      </w:r>
      <w:r>
        <w:t>6</w:t>
      </w:r>
      <w:r w:rsidRPr="0052754D">
        <w:t xml:space="preserve"> cents to a man’s dollar earned. </w:t>
      </w:r>
      <w:r>
        <w:t xml:space="preserve"> </w:t>
      </w:r>
      <w:r w:rsidR="00CC7A1D">
        <w:t>W</w:t>
      </w:r>
      <w:r w:rsidRPr="0052754D">
        <w:t xml:space="preserve">here women teach and their faculty rank </w:t>
      </w:r>
      <w:r>
        <w:t>makes a difference</w:t>
      </w:r>
      <w:r w:rsidRPr="0052754D">
        <w:t>. Women earn</w:t>
      </w:r>
      <w:r w:rsidR="00AB31EC">
        <w:t>ed</w:t>
      </w:r>
      <w:r w:rsidRPr="0052754D">
        <w:t xml:space="preserve"> 96 to 98 percent of men’s earnings in community colleges; notably, community college faculty are the lowest</w:t>
      </w:r>
      <w:r w:rsidR="002E41CB">
        <w:t xml:space="preserve"> </w:t>
      </w:r>
      <w:r w:rsidRPr="0052754D">
        <w:t xml:space="preserve">paid among public institutions (Figure 8). </w:t>
      </w:r>
      <w:r w:rsidR="000F55A5">
        <w:t xml:space="preserve">Interestingly, on average, women </w:t>
      </w:r>
      <w:r w:rsidR="000F55A5" w:rsidRPr="0052754D">
        <w:t>only earn</w:t>
      </w:r>
      <w:r w:rsidR="000F55A5">
        <w:t>ed</w:t>
      </w:r>
      <w:r w:rsidR="000F55A5" w:rsidRPr="0052754D">
        <w:t xml:space="preserve"> 8</w:t>
      </w:r>
      <w:r w:rsidR="000F55A5">
        <w:t>4</w:t>
      </w:r>
      <w:r w:rsidR="000F55A5" w:rsidRPr="0052754D">
        <w:t xml:space="preserve"> percent of men’s earnings at research universities</w:t>
      </w:r>
      <w:r w:rsidR="000F55A5">
        <w:t xml:space="preserve">, but </w:t>
      </w:r>
      <w:r w:rsidRPr="0052754D">
        <w:t xml:space="preserve">women professors </w:t>
      </w:r>
      <w:r w:rsidR="000F55A5">
        <w:t xml:space="preserve">in the sector </w:t>
      </w:r>
      <w:r w:rsidRPr="0052754D">
        <w:t>earn</w:t>
      </w:r>
      <w:r w:rsidR="00AB31EC">
        <w:t>ed</w:t>
      </w:r>
      <w:r w:rsidRPr="0052754D">
        <w:t xml:space="preserve"> 89 percent of men’s earnings. </w:t>
      </w:r>
    </w:p>
    <w:p w14:paraId="6B50F6AC" w14:textId="47AE7547" w:rsidR="00820962" w:rsidRDefault="00820962" w:rsidP="00C37056">
      <w:r w:rsidRPr="0052754D">
        <w:t>Contributing to the wage gap is the fact that women are more likely to teach in lower-paid institutions and hold positions in lower-paid ranks. Women comprise</w:t>
      </w:r>
      <w:r>
        <w:t>d</w:t>
      </w:r>
      <w:r w:rsidRPr="0052754D">
        <w:t xml:space="preserve"> 4</w:t>
      </w:r>
      <w:r>
        <w:t>9</w:t>
      </w:r>
      <w:r w:rsidRPr="0052754D">
        <w:t xml:space="preserve"> percent of</w:t>
      </w:r>
      <w:r>
        <w:t xml:space="preserve"> all</w:t>
      </w:r>
      <w:r w:rsidRPr="0052754D">
        <w:t xml:space="preserve"> faculty but </w:t>
      </w:r>
      <w:r>
        <w:t>we</w:t>
      </w:r>
      <w:r w:rsidRPr="0052754D">
        <w:t xml:space="preserve">re over-represented in all ranks of community colleges, where they </w:t>
      </w:r>
      <w:r>
        <w:t>we</w:t>
      </w:r>
      <w:r w:rsidRPr="0052754D">
        <w:t>re 5</w:t>
      </w:r>
      <w:r>
        <w:t>3</w:t>
      </w:r>
      <w:r w:rsidRPr="0052754D">
        <w:t xml:space="preserve"> to 57 percent of faculty (Figure 9). </w:t>
      </w:r>
    </w:p>
    <w:p w14:paraId="16C88215" w14:textId="4502E1C5" w:rsidR="00820962" w:rsidRPr="0052754D" w:rsidRDefault="00820962" w:rsidP="00C37056">
      <w:r>
        <w:rPr>
          <w:noProof/>
        </w:rPr>
        <w:lastRenderedPageBreak/>
        <w:drawing>
          <wp:inline distT="0" distB="0" distL="0" distR="0" wp14:anchorId="1A9C1CB5" wp14:editId="720612EF">
            <wp:extent cx="4828250" cy="3108960"/>
            <wp:effectExtent l="0" t="0" r="0" b="2540"/>
            <wp:docPr id="6165960" name="Picture 1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5960" name="Picture 15" descr="A screenshot of a graph&#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848547" cy="3122030"/>
                    </a:xfrm>
                    <a:prstGeom prst="rect">
                      <a:avLst/>
                    </a:prstGeom>
                  </pic:spPr>
                </pic:pic>
              </a:graphicData>
            </a:graphic>
          </wp:inline>
        </w:drawing>
      </w:r>
    </w:p>
    <w:p w14:paraId="28CAA088" w14:textId="43D46DFB" w:rsidR="00820962" w:rsidRDefault="00820962" w:rsidP="005F4FBA">
      <w:r>
        <w:rPr>
          <w:noProof/>
        </w:rPr>
        <w:drawing>
          <wp:inline distT="0" distB="0" distL="0" distR="0" wp14:anchorId="63848A29" wp14:editId="01D3E8AC">
            <wp:extent cx="4838276" cy="3158836"/>
            <wp:effectExtent l="0" t="0" r="635" b="3810"/>
            <wp:docPr id="1909702343" name="Picture 13" descr="A graph of blue and whit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702343" name="Picture 13" descr="A graph of blue and white bar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871889" cy="3180781"/>
                    </a:xfrm>
                    <a:prstGeom prst="rect">
                      <a:avLst/>
                    </a:prstGeom>
                  </pic:spPr>
                </pic:pic>
              </a:graphicData>
            </a:graphic>
          </wp:inline>
        </w:drawing>
      </w:r>
    </w:p>
    <w:p w14:paraId="624C09F2" w14:textId="3991C8A1" w:rsidR="00B04190" w:rsidRPr="0052754D" w:rsidRDefault="00B04190" w:rsidP="005F4FBA">
      <w:r w:rsidRPr="0052754D">
        <w:t xml:space="preserve">Women </w:t>
      </w:r>
      <w:r w:rsidR="00AB31EC">
        <w:t>we</w:t>
      </w:r>
      <w:r w:rsidRPr="0052754D">
        <w:t>re underrepresented in the highest-paid ranks in the highest-paid public institutions: women comprise</w:t>
      </w:r>
      <w:r w:rsidR="00AB31EC">
        <w:t>d</w:t>
      </w:r>
      <w:r w:rsidRPr="0052754D">
        <w:t xml:space="preserve"> only 3</w:t>
      </w:r>
      <w:r>
        <w:t>5</w:t>
      </w:r>
      <w:r w:rsidRPr="0052754D">
        <w:t xml:space="preserve"> and 4</w:t>
      </w:r>
      <w:r>
        <w:t>6</w:t>
      </w:r>
      <w:r w:rsidRPr="0052754D">
        <w:t xml:space="preserve"> percent of professors and associate professors at research universities, and across all types of 4-year institutions, women </w:t>
      </w:r>
      <w:r w:rsidR="00AB31EC">
        <w:t>we</w:t>
      </w:r>
      <w:r w:rsidRPr="0052754D">
        <w:t xml:space="preserve">re underrepresented in the highest-paid professorial ranks. </w:t>
      </w:r>
    </w:p>
    <w:p w14:paraId="776C4F54" w14:textId="3C189C84" w:rsidR="00B04190" w:rsidRPr="0052754D" w:rsidRDefault="00B04190" w:rsidP="005F4FBA">
      <w:r w:rsidRPr="0052754D">
        <w:rPr>
          <w:b/>
          <w:bCs/>
        </w:rPr>
        <w:t xml:space="preserve">What’s Happening within States? </w:t>
      </w:r>
      <w:r w:rsidR="00AB31EC" w:rsidRPr="002952E7">
        <w:t xml:space="preserve">Regional, state, and local economies, as well as politics, have a significant impact on faculty salaries. Institutional enrollment, the demand for specific programs, faculty and staff unions, and numerous other factors also play a role. </w:t>
      </w:r>
      <w:r w:rsidR="00CC7A1D">
        <w:t>Also</w:t>
      </w:r>
      <w:r w:rsidR="00AB31EC" w:rsidRPr="002952E7">
        <w:t xml:space="preserve">, the recent period of high inflation </w:t>
      </w:r>
      <w:r w:rsidR="00AB31EC" w:rsidRPr="002952E7">
        <w:lastRenderedPageBreak/>
        <w:t>has put pressure on state and institutional revenues, priorities, and budgets. How do these factors influence faculty salaries in different states?</w:t>
      </w:r>
    </w:p>
    <w:p w14:paraId="572428B7" w14:textId="0BF73B98" w:rsidR="00B04190" w:rsidRDefault="00B04190" w:rsidP="005F4FBA">
      <w:r>
        <w:t>T</w:t>
      </w:r>
      <w:r w:rsidRPr="0052754D">
        <w:t xml:space="preserve">he national average in public 4-year institutions was </w:t>
      </w:r>
      <w:r>
        <w:t xml:space="preserve">over $100,000 for the second year in a row, $104,439. </w:t>
      </w:r>
      <w:r w:rsidRPr="0052754D">
        <w:t xml:space="preserve">The states that historically vie for the top ranks remain in the top </w:t>
      </w:r>
      <w:r w:rsidR="00CE7420">
        <w:t>five</w:t>
      </w:r>
      <w:r w:rsidRPr="0052754D">
        <w:t xml:space="preserve"> in </w:t>
      </w:r>
      <w:r>
        <w:t>2023-24</w:t>
      </w:r>
      <w:r w:rsidRPr="0052754D">
        <w:t xml:space="preserve">—California, New Jersey, Delaware, Hawaii, and Connecticut (Table 1). California </w:t>
      </w:r>
      <w:r w:rsidR="00CE7420">
        <w:t>wa</w:t>
      </w:r>
      <w:r w:rsidRPr="0052754D">
        <w:t>s the perennial leader for the sector, and faculty teaching in California’s public 4-year institutions had an average salary of $</w:t>
      </w:r>
      <w:r>
        <w:t>133,447</w:t>
      </w:r>
      <w:r w:rsidRPr="0052754D">
        <w:t xml:space="preserve">. </w:t>
      </w:r>
      <w:r>
        <w:t>T</w:t>
      </w:r>
      <w:r w:rsidRPr="0052754D">
        <w:t xml:space="preserve">his </w:t>
      </w:r>
      <w:r w:rsidR="00CE7420">
        <w:t>wa</w:t>
      </w:r>
      <w:r w:rsidRPr="0052754D">
        <w:t xml:space="preserve">s a </w:t>
      </w:r>
      <w:r>
        <w:t xml:space="preserve">3.4 </w:t>
      </w:r>
      <w:r w:rsidRPr="0052754D">
        <w:t>percent increase over 202</w:t>
      </w:r>
      <w:r>
        <w:t>2</w:t>
      </w:r>
      <w:r w:rsidRPr="0052754D">
        <w:t>-2</w:t>
      </w:r>
      <w:r>
        <w:t>3</w:t>
      </w:r>
      <w:r w:rsidRPr="0052754D">
        <w:t xml:space="preserve">, which is </w:t>
      </w:r>
      <w:r>
        <w:t xml:space="preserve">just </w:t>
      </w:r>
      <w:r w:rsidRPr="0052754D">
        <w:t>above the rate of inflation. New Jersey ranked 2</w:t>
      </w:r>
      <w:r w:rsidRPr="0052754D">
        <w:rPr>
          <w:vertAlign w:val="superscript"/>
        </w:rPr>
        <w:t>nd</w:t>
      </w:r>
      <w:r w:rsidRPr="0052754D">
        <w:t xml:space="preserve"> and had an average salary of $12</w:t>
      </w:r>
      <w:r>
        <w:t>9,661</w:t>
      </w:r>
      <w:r w:rsidRPr="0052754D">
        <w:t xml:space="preserve">, which </w:t>
      </w:r>
      <w:r w:rsidR="00CE7420">
        <w:t>wa</w:t>
      </w:r>
      <w:r w:rsidRPr="0052754D">
        <w:t>s $</w:t>
      </w:r>
      <w:r>
        <w:t xml:space="preserve">3,786 </w:t>
      </w:r>
      <w:r w:rsidRPr="0052754D">
        <w:t xml:space="preserve">less than California. </w:t>
      </w:r>
    </w:p>
    <w:p w14:paraId="49147048" w14:textId="77777777" w:rsidR="00820962" w:rsidRPr="0052754D" w:rsidRDefault="00820962" w:rsidP="00820962">
      <w:r>
        <w:t xml:space="preserve">Half of the </w:t>
      </w:r>
      <w:r w:rsidRPr="0052754D">
        <w:t xml:space="preserve">states </w:t>
      </w:r>
      <w:r>
        <w:t xml:space="preserve">(25) </w:t>
      </w:r>
      <w:r w:rsidRPr="0052754D">
        <w:t>paid public 4-year faculty salaries over $100,000</w:t>
      </w:r>
      <w:r>
        <w:t xml:space="preserve"> in 2023-24; this is up from eighteen states the prior year</w:t>
      </w:r>
      <w:r w:rsidRPr="0052754D">
        <w:t xml:space="preserve">. </w:t>
      </w:r>
      <w:r>
        <w:t xml:space="preserve">In 32 states, public </w:t>
      </w:r>
      <w:r w:rsidRPr="0052754D">
        <w:t>4-year faculty salaries increase</w:t>
      </w:r>
      <w:r>
        <w:t>d</w:t>
      </w:r>
      <w:r w:rsidRPr="0052754D">
        <w:t xml:space="preserve"> at rates higher than the inflation rate between the 202</w:t>
      </w:r>
      <w:r>
        <w:t>2</w:t>
      </w:r>
      <w:r w:rsidRPr="0052754D">
        <w:t>-2</w:t>
      </w:r>
      <w:r>
        <w:t>3</w:t>
      </w:r>
      <w:r w:rsidRPr="0052754D">
        <w:t xml:space="preserve"> and </w:t>
      </w:r>
      <w:r>
        <w:t>2023-24</w:t>
      </w:r>
      <w:r w:rsidRPr="0052754D">
        <w:t xml:space="preserve"> academic years. With salaries from $7</w:t>
      </w:r>
      <w:r>
        <w:t>8</w:t>
      </w:r>
      <w:r w:rsidRPr="0052754D">
        <w:t>,000 to $7</w:t>
      </w:r>
      <w:r>
        <w:t>9,520</w:t>
      </w:r>
      <w:r w:rsidRPr="0052754D">
        <w:t>, Mississippi</w:t>
      </w:r>
      <w:r>
        <w:t xml:space="preserve">, </w:t>
      </w:r>
      <w:r w:rsidRPr="0052754D">
        <w:t xml:space="preserve">Arkansas, </w:t>
      </w:r>
      <w:r>
        <w:t xml:space="preserve">and </w:t>
      </w:r>
      <w:r w:rsidRPr="0052754D">
        <w:t xml:space="preserve">Louisiana remain at the bottom of the rankings as they have for years; however, the cost of living in these states is significantly </w:t>
      </w:r>
      <w:r>
        <w:t xml:space="preserve">lower than in </w:t>
      </w:r>
      <w:r w:rsidRPr="0052754D">
        <w:t xml:space="preserve">other states. Notably, of these three states, only </w:t>
      </w:r>
      <w:r>
        <w:t xml:space="preserve">Louisiana’s </w:t>
      </w:r>
      <w:r w:rsidRPr="0052754D">
        <w:t xml:space="preserve">salaries increased at a rate </w:t>
      </w:r>
      <w:r>
        <w:t>above inflation</w:t>
      </w:r>
      <w:r w:rsidRPr="0052754D">
        <w:t>, 4.</w:t>
      </w:r>
      <w:r>
        <w:t>6</w:t>
      </w:r>
      <w:r w:rsidRPr="0052754D">
        <w:t xml:space="preserve"> percent; Arkansas and </w:t>
      </w:r>
      <w:r>
        <w:t xml:space="preserve">Mississippi </w:t>
      </w:r>
      <w:r w:rsidRPr="0052754D">
        <w:t xml:space="preserve">faculty salaries increased </w:t>
      </w:r>
      <w:r>
        <w:t xml:space="preserve">by </w:t>
      </w:r>
      <w:r w:rsidRPr="0052754D">
        <w:t>2.</w:t>
      </w:r>
      <w:r>
        <w:t>0</w:t>
      </w:r>
      <w:r w:rsidRPr="0052754D">
        <w:t xml:space="preserve"> and </w:t>
      </w:r>
      <w:r>
        <w:t xml:space="preserve">1.8 </w:t>
      </w:r>
      <w:r w:rsidRPr="0052754D">
        <w:t>percent</w:t>
      </w:r>
      <w:r>
        <w:t>, respectively</w:t>
      </w:r>
      <w:r w:rsidRPr="0052754D">
        <w:t xml:space="preserve">. </w:t>
      </w:r>
    </w:p>
    <w:p w14:paraId="30245425" w14:textId="77777777" w:rsidR="00820962" w:rsidRPr="0052754D" w:rsidRDefault="00820962" w:rsidP="00820962">
      <w:r w:rsidRPr="0052754D">
        <w:t>For the third year, California is the only state where community college faculty earned over $100,000 ($1</w:t>
      </w:r>
      <w:r>
        <w:t>20,768</w:t>
      </w:r>
      <w:r w:rsidRPr="0052754D">
        <w:t>)</w:t>
      </w:r>
      <w:r>
        <w:t xml:space="preserve"> and leads the salary ranking </w:t>
      </w:r>
      <w:r w:rsidRPr="0052754D">
        <w:t>in the community college sector in addition to the 4-year sector</w:t>
      </w:r>
      <w:r>
        <w:t>. California’s community college faculty also saw a large increase of 9.2 percent in their salaries, on average</w:t>
      </w:r>
      <w:r w:rsidRPr="0052754D">
        <w:t xml:space="preserve">. </w:t>
      </w:r>
      <w:r>
        <w:t xml:space="preserve">Three states paid their community college </w:t>
      </w:r>
      <w:r w:rsidRPr="0052754D">
        <w:t>faculty average salaries between $</w:t>
      </w:r>
      <w:r>
        <w:t>9</w:t>
      </w:r>
      <w:r w:rsidRPr="0052754D">
        <w:t>0,000 and $</w:t>
      </w:r>
      <w:r>
        <w:t>10</w:t>
      </w:r>
      <w:r w:rsidRPr="0052754D">
        <w:t>0,000</w:t>
      </w:r>
      <w:r>
        <w:t xml:space="preserve"> in 2023-24: Connecticut (</w:t>
      </w:r>
      <w:r w:rsidRPr="0052754D">
        <w:t>$9</w:t>
      </w:r>
      <w:r>
        <w:t xml:space="preserve">3,555), Michigan ($91,022), and </w:t>
      </w:r>
      <w:r w:rsidRPr="0052754D">
        <w:t xml:space="preserve">New York </w:t>
      </w:r>
      <w:r>
        <w:t>(</w:t>
      </w:r>
      <w:r w:rsidRPr="0052754D">
        <w:t>$</w:t>
      </w:r>
      <w:r>
        <w:t xml:space="preserve">90,443). </w:t>
      </w:r>
      <w:r w:rsidRPr="0052754D">
        <w:t>Arkansas historically trails the ranks, with an average salary of $53,</w:t>
      </w:r>
      <w:r>
        <w:t>917</w:t>
      </w:r>
      <w:r w:rsidRPr="0052754D">
        <w:t xml:space="preserve"> in the </w:t>
      </w:r>
      <w:r>
        <w:t xml:space="preserve">community college </w:t>
      </w:r>
      <w:r w:rsidRPr="0052754D">
        <w:t xml:space="preserve">sector for </w:t>
      </w:r>
      <w:r>
        <w:t>2023-24</w:t>
      </w:r>
      <w:r w:rsidRPr="0052754D">
        <w:t xml:space="preserve">. </w:t>
      </w:r>
      <w:r>
        <w:t xml:space="preserve">This was followed closely by Kentucky, West Virginia, Louisiana, Mississippi, Indiana, South Carolina, Montana and North Carolina, all under $60,000. </w:t>
      </w:r>
      <w:r w:rsidRPr="0052754D">
        <w:t xml:space="preserve">Community college faculty in </w:t>
      </w:r>
      <w:r>
        <w:t xml:space="preserve">28 </w:t>
      </w:r>
      <w:r w:rsidRPr="0052754D">
        <w:t>states saw increases in salaries above the inflation rate</w:t>
      </w:r>
      <w:r>
        <w:t xml:space="preserve"> a</w:t>
      </w:r>
      <w:r w:rsidRPr="0052754D">
        <w:t xml:space="preserve">nd some of these states’ increases were significant, for example, </w:t>
      </w:r>
      <w:r>
        <w:t xml:space="preserve">13 </w:t>
      </w:r>
      <w:r w:rsidRPr="0052754D">
        <w:t xml:space="preserve">percent in </w:t>
      </w:r>
      <w:r>
        <w:t>Oklahoma</w:t>
      </w:r>
      <w:r w:rsidRPr="0052754D">
        <w:t xml:space="preserve">, </w:t>
      </w:r>
      <w:r>
        <w:t xml:space="preserve">12 percent in Nevada, </w:t>
      </w:r>
      <w:r w:rsidRPr="0052754D">
        <w:t xml:space="preserve">and between 9 and 10 percent in New Mexico, </w:t>
      </w:r>
      <w:r>
        <w:t>Washington</w:t>
      </w:r>
      <w:r w:rsidRPr="0052754D">
        <w:t xml:space="preserve">, and </w:t>
      </w:r>
      <w:r>
        <w:t>California</w:t>
      </w:r>
      <w:r w:rsidRPr="0052754D">
        <w:t xml:space="preserve">. </w:t>
      </w:r>
    </w:p>
    <w:p w14:paraId="7CBCEF0C" w14:textId="77777777" w:rsidR="00820962" w:rsidRDefault="00820962" w:rsidP="00820962">
      <w:r>
        <w:t xml:space="preserve">At private institutions, faculty in New Jersey earned the most among states in 2023-24 ($141,158), unseating </w:t>
      </w:r>
      <w:r w:rsidRPr="0052754D">
        <w:t>Massachusetts</w:t>
      </w:r>
      <w:r>
        <w:t xml:space="preserve"> which had been the sector leader for some time. Nine </w:t>
      </w:r>
      <w:r w:rsidRPr="0052754D">
        <w:t>states</w:t>
      </w:r>
      <w:r>
        <w:t xml:space="preserve"> </w:t>
      </w:r>
      <w:r w:rsidRPr="0052754D">
        <w:t>–</w:t>
      </w:r>
      <w:r>
        <w:t xml:space="preserve"> </w:t>
      </w:r>
      <w:r w:rsidRPr="0052754D">
        <w:t xml:space="preserve">New Jersey, Massachusetts, Connecticut, </w:t>
      </w:r>
      <w:r>
        <w:t xml:space="preserve">California, </w:t>
      </w:r>
      <w:r w:rsidRPr="0052754D">
        <w:t>New Hampshire, Rhode Island, New York</w:t>
      </w:r>
      <w:r>
        <w:t xml:space="preserve">, and Maryland, along with Washington, D.C., </w:t>
      </w:r>
      <w:r w:rsidRPr="0052754D">
        <w:t>pa</w:t>
      </w:r>
      <w:r>
        <w:t>id</w:t>
      </w:r>
      <w:r w:rsidRPr="0052754D">
        <w:t xml:space="preserve"> private institution faculty an average over $120,000. Ranked </w:t>
      </w:r>
      <w:r>
        <w:t>6</w:t>
      </w:r>
      <w:r w:rsidRPr="002952E7">
        <w:rPr>
          <w:vertAlign w:val="superscript"/>
        </w:rPr>
        <w:t>th</w:t>
      </w:r>
      <w:r>
        <w:t>, Washington, D.C.</w:t>
      </w:r>
      <w:r w:rsidRPr="0052754D">
        <w:t>’s average faculty salary at private institutions was $12</w:t>
      </w:r>
      <w:r>
        <w:t xml:space="preserve">8,763, but </w:t>
      </w:r>
      <w:r w:rsidRPr="0052754D">
        <w:t xml:space="preserve">public 4-year </w:t>
      </w:r>
      <w:r>
        <w:t xml:space="preserve">institutions’ </w:t>
      </w:r>
      <w:r w:rsidRPr="0052754D">
        <w:t>salaries rank 4</w:t>
      </w:r>
      <w:r>
        <w:t>6</w:t>
      </w:r>
      <w:r w:rsidRPr="002952E7">
        <w:rPr>
          <w:vertAlign w:val="superscript"/>
        </w:rPr>
        <w:t>th</w:t>
      </w:r>
      <w:r w:rsidRPr="0052754D">
        <w:t>, $83,</w:t>
      </w:r>
      <w:r>
        <w:t>630</w:t>
      </w:r>
      <w:r w:rsidRPr="0052754D">
        <w:t>.</w:t>
      </w:r>
    </w:p>
    <w:p w14:paraId="7214CBA6" w14:textId="22D5A68E" w:rsidR="00820962" w:rsidRDefault="00820962" w:rsidP="00820962">
      <w:r w:rsidRPr="000F55A5">
        <w:t xml:space="preserve">The pay </w:t>
      </w:r>
      <w:r>
        <w:t xml:space="preserve">differential </w:t>
      </w:r>
      <w:r w:rsidRPr="000F55A5">
        <w:t>between faculty at 2-year and 4-year public institutions varies by state. In 2023-24, the average salary difference between these faculty groups across states was $23,126.</w:t>
      </w:r>
      <w:r w:rsidRPr="0052754D">
        <w:t xml:space="preserve"> </w:t>
      </w:r>
      <w:r>
        <w:t xml:space="preserve">In five states, faculty teaching in public 4-year institutions earned over $40,000 more than their colleagues in community colleges: Delaware, Florida, Iowa, Indiana, and New Jersey. </w:t>
      </w:r>
      <w:r w:rsidRPr="0052754D">
        <w:t xml:space="preserve">New Jersey and Indiana </w:t>
      </w:r>
      <w:r>
        <w:t xml:space="preserve">had </w:t>
      </w:r>
      <w:r w:rsidRPr="0052754D">
        <w:t>the largest average salary difference, $4</w:t>
      </w:r>
      <w:r>
        <w:t>5,513</w:t>
      </w:r>
      <w:r w:rsidRPr="0052754D">
        <w:t xml:space="preserve"> and $4</w:t>
      </w:r>
      <w:r>
        <w:t>4,761</w:t>
      </w:r>
      <w:r w:rsidRPr="0052754D">
        <w:t>, respectively.</w:t>
      </w:r>
    </w:p>
    <w:p w14:paraId="35A2FEC4" w14:textId="7B75AC4B" w:rsidR="00820962" w:rsidRDefault="00820962" w:rsidP="005F4FBA">
      <w:r>
        <w:t>A</w:t>
      </w:r>
      <w:r w:rsidRPr="0052754D">
        <w:t xml:space="preserve">lthough salaries </w:t>
      </w:r>
      <w:r>
        <w:t>we</w:t>
      </w:r>
      <w:r w:rsidRPr="0052754D">
        <w:t>re quite disparate, some state</w:t>
      </w:r>
      <w:r>
        <w:t>s’</w:t>
      </w:r>
      <w:r w:rsidRPr="0052754D">
        <w:t xml:space="preserve"> salary rank</w:t>
      </w:r>
      <w:r>
        <w:t>ing</w:t>
      </w:r>
      <w:r w:rsidRPr="0052754D">
        <w:t xml:space="preserve">s </w:t>
      </w:r>
      <w:r>
        <w:t>we</w:t>
      </w:r>
      <w:r w:rsidRPr="0052754D">
        <w:t>re similar in the two sectors; for example, California’s average faculty salar</w:t>
      </w:r>
      <w:r>
        <w:t>ies</w:t>
      </w:r>
      <w:r w:rsidRPr="0052754D">
        <w:t xml:space="preserve"> rank</w:t>
      </w:r>
      <w:r>
        <w:t>ed</w:t>
      </w:r>
      <w:r w:rsidRPr="0052754D">
        <w:t xml:space="preserve"> 1</w:t>
      </w:r>
      <w:r w:rsidRPr="0052754D">
        <w:rPr>
          <w:vertAlign w:val="superscript"/>
        </w:rPr>
        <w:t>st</w:t>
      </w:r>
      <w:r w:rsidRPr="0052754D">
        <w:t xml:space="preserve"> in both 2- and 4-year public institutions, but the dollar difference </w:t>
      </w:r>
      <w:r>
        <w:t>wa</w:t>
      </w:r>
      <w:r w:rsidRPr="0052754D">
        <w:t>s over $1</w:t>
      </w:r>
      <w:r>
        <w:t>2</w:t>
      </w:r>
      <w:r w:rsidRPr="0052754D">
        <w:t>,000. Conversely, some states’ rank</w:t>
      </w:r>
      <w:r>
        <w:t>ing</w:t>
      </w:r>
      <w:r w:rsidRPr="0052754D">
        <w:t>s for 2- and 4-year institutions differ</w:t>
      </w:r>
      <w:r>
        <w:t>ed</w:t>
      </w:r>
      <w:r w:rsidRPr="0052754D">
        <w:t xml:space="preserve"> by a fair magnitude, yet the </w:t>
      </w:r>
      <w:r>
        <w:t xml:space="preserve">average </w:t>
      </w:r>
      <w:r w:rsidRPr="0052754D">
        <w:t xml:space="preserve">salary in the two sectors differs only slightly. In Wisconsin, </w:t>
      </w:r>
      <w:r w:rsidRPr="0052754D">
        <w:lastRenderedPageBreak/>
        <w:t xml:space="preserve">the difference </w:t>
      </w:r>
      <w:r>
        <w:t>wa</w:t>
      </w:r>
      <w:r w:rsidRPr="0052754D">
        <w:t xml:space="preserve">s </w:t>
      </w:r>
      <w:r>
        <w:t xml:space="preserve">over </w:t>
      </w:r>
      <w:r w:rsidRPr="0052754D">
        <w:t>$</w:t>
      </w:r>
      <w:r>
        <w:t>10,000</w:t>
      </w:r>
      <w:r w:rsidRPr="0052754D">
        <w:t xml:space="preserve">, </w:t>
      </w:r>
      <w:r>
        <w:t xml:space="preserve">and </w:t>
      </w:r>
      <w:r w:rsidRPr="0052754D">
        <w:t xml:space="preserve">the 2-year and 4-year ranks </w:t>
      </w:r>
      <w:r>
        <w:t>we</w:t>
      </w:r>
      <w:r w:rsidRPr="0052754D">
        <w:t xml:space="preserve">re </w:t>
      </w:r>
      <w:r>
        <w:t>6</w:t>
      </w:r>
      <w:r w:rsidRPr="0052754D">
        <w:rPr>
          <w:vertAlign w:val="superscript"/>
        </w:rPr>
        <w:t>th</w:t>
      </w:r>
      <w:r w:rsidRPr="0052754D">
        <w:t xml:space="preserve"> and 2</w:t>
      </w:r>
      <w:r>
        <w:t>6</w:t>
      </w:r>
      <w:r w:rsidRPr="0052754D">
        <w:rPr>
          <w:vertAlign w:val="superscript"/>
        </w:rPr>
        <w:t>th</w:t>
      </w:r>
      <w:r w:rsidRPr="0052754D">
        <w:t xml:space="preserve">, respectively. In </w:t>
      </w:r>
      <w:r>
        <w:t xml:space="preserve">seven </w:t>
      </w:r>
      <w:r w:rsidRPr="0052754D">
        <w:t xml:space="preserve">states, the differential </w:t>
      </w:r>
      <w:r>
        <w:t>wa</w:t>
      </w:r>
      <w:r w:rsidRPr="0052754D">
        <w:t>s less than $20,000.</w:t>
      </w:r>
    </w:p>
    <w:p w14:paraId="644A8FBF" w14:textId="61AD9295" w:rsidR="00820962" w:rsidRPr="0052754D" w:rsidRDefault="00820962" w:rsidP="005F4FBA">
      <w:r>
        <w:rPr>
          <w:noProof/>
        </w:rPr>
        <w:drawing>
          <wp:inline distT="0" distB="0" distL="0" distR="0" wp14:anchorId="5ADD46F4" wp14:editId="71FD94C6">
            <wp:extent cx="4673600" cy="6807200"/>
            <wp:effectExtent l="0" t="0" r="0" b="0"/>
            <wp:docPr id="370711249" name="Picture 16" descr="A table of numbers and nam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11249" name="Picture 16" descr="A table of numbers and names&#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4673600" cy="6807200"/>
                    </a:xfrm>
                    <a:prstGeom prst="rect">
                      <a:avLst/>
                    </a:prstGeom>
                  </pic:spPr>
                </pic:pic>
              </a:graphicData>
            </a:graphic>
          </wp:inline>
        </w:drawing>
      </w:r>
    </w:p>
    <w:p w14:paraId="48E5F0B6" w14:textId="690FA911" w:rsidR="00B04190" w:rsidRPr="0052754D" w:rsidRDefault="00B04190" w:rsidP="005F4FBA">
      <w:r w:rsidRPr="0052754D">
        <w:t xml:space="preserve">The average salaries for faculty teaching in public 2- and 4-year institutions increased </w:t>
      </w:r>
      <w:r w:rsidR="004C4FEC">
        <w:t>5.5</w:t>
      </w:r>
      <w:r>
        <w:t xml:space="preserve"> </w:t>
      </w:r>
      <w:r w:rsidRPr="0052754D">
        <w:t xml:space="preserve">and </w:t>
      </w:r>
      <w:r w:rsidR="004C4FEC">
        <w:t>3.9</w:t>
      </w:r>
      <w:r w:rsidRPr="0052754D">
        <w:t xml:space="preserve"> percent between 202</w:t>
      </w:r>
      <w:r w:rsidR="004C4FEC">
        <w:t>2</w:t>
      </w:r>
      <w:r w:rsidRPr="0052754D">
        <w:t>-2</w:t>
      </w:r>
      <w:r w:rsidR="004C4FEC">
        <w:t>3</w:t>
      </w:r>
      <w:r w:rsidRPr="0052754D">
        <w:t xml:space="preserve"> and </w:t>
      </w:r>
      <w:r>
        <w:t>2023-24</w:t>
      </w:r>
      <w:r w:rsidRPr="0052754D">
        <w:t xml:space="preserve">, respectively, and salaries in private institutions increased </w:t>
      </w:r>
      <w:r w:rsidR="004C4FEC">
        <w:t>4</w:t>
      </w:r>
      <w:r>
        <w:t>.</w:t>
      </w:r>
      <w:r w:rsidR="004C4FEC">
        <w:t>3</w:t>
      </w:r>
      <w:r w:rsidRPr="0052754D">
        <w:t xml:space="preserve"> percent</w:t>
      </w:r>
      <w:r>
        <w:t xml:space="preserve"> – all above inflation</w:t>
      </w:r>
      <w:r w:rsidR="004C4FEC">
        <w:t xml:space="preserve"> – </w:t>
      </w:r>
      <w:r w:rsidRPr="0052754D">
        <w:t>so</w:t>
      </w:r>
      <w:r w:rsidR="00CC7A1D">
        <w:t>, on average,</w:t>
      </w:r>
      <w:r w:rsidRPr="0052754D">
        <w:t xml:space="preserve"> purchasing power </w:t>
      </w:r>
      <w:r w:rsidR="004C4FEC">
        <w:t>increased</w:t>
      </w:r>
      <w:r w:rsidR="004C4FEC" w:rsidRPr="0052754D">
        <w:t xml:space="preserve"> </w:t>
      </w:r>
      <w:r w:rsidR="004C4FEC">
        <w:t xml:space="preserve">between the two years </w:t>
      </w:r>
      <w:r w:rsidRPr="0052754D">
        <w:t xml:space="preserve">in all three sectors. Faculty in public 4-year institutions in Vermont saw a decrease in </w:t>
      </w:r>
      <w:r w:rsidR="00E25812">
        <w:t>the average salary</w:t>
      </w:r>
      <w:r w:rsidRPr="0052754D">
        <w:t xml:space="preserve">, as </w:t>
      </w:r>
      <w:r w:rsidRPr="0052754D">
        <w:lastRenderedPageBreak/>
        <w:t xml:space="preserve">did community college faculty in </w:t>
      </w:r>
      <w:r>
        <w:t xml:space="preserve">Rhode Island and faculty at private institutions in Arizona and Delaware. </w:t>
      </w:r>
      <w:r w:rsidRPr="0052754D">
        <w:t xml:space="preserve">Note that these declines may be due to a change in the mix of faculty by rank and/or discipline and does not necessarily mean that individuals’ salaries declined. </w:t>
      </w:r>
    </w:p>
    <w:p w14:paraId="3C7D2479" w14:textId="7FD63108" w:rsidR="00B04190" w:rsidRDefault="00820962" w:rsidP="005F4FBA">
      <w:r>
        <w:rPr>
          <w:noProof/>
        </w:rPr>
        <w:drawing>
          <wp:anchor distT="0" distB="0" distL="114300" distR="114300" simplePos="0" relativeHeight="251724288" behindDoc="0" locked="0" layoutInCell="1" allowOverlap="1" wp14:anchorId="572407C0" wp14:editId="37D0E612">
            <wp:simplePos x="0" y="0"/>
            <wp:positionH relativeFrom="column">
              <wp:posOffset>0</wp:posOffset>
            </wp:positionH>
            <wp:positionV relativeFrom="paragraph">
              <wp:posOffset>67252</wp:posOffset>
            </wp:positionV>
            <wp:extent cx="3461721" cy="5087390"/>
            <wp:effectExtent l="0" t="0" r="5715" b="5715"/>
            <wp:wrapSquare wrapText="bothSides"/>
            <wp:docPr id="101306311" name="Picture 14" descr="A graph of the cost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6311" name="Picture 14" descr="A graph of the cost of a company&#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3461721" cy="5087390"/>
                    </a:xfrm>
                    <a:prstGeom prst="rect">
                      <a:avLst/>
                    </a:prstGeom>
                  </pic:spPr>
                </pic:pic>
              </a:graphicData>
            </a:graphic>
            <wp14:sizeRelH relativeFrom="page">
              <wp14:pctWidth>0</wp14:pctWidth>
            </wp14:sizeRelH>
            <wp14:sizeRelV relativeFrom="page">
              <wp14:pctHeight>0</wp14:pctHeight>
            </wp14:sizeRelV>
          </wp:anchor>
        </w:drawing>
      </w:r>
      <w:r w:rsidR="00B04190" w:rsidRPr="0052754D">
        <w:rPr>
          <w:b/>
          <w:bCs/>
        </w:rPr>
        <w:t>Differences by Discipline</w:t>
      </w:r>
      <w:r w:rsidR="00B04190" w:rsidRPr="0052754D">
        <w:t xml:space="preserve">. What is taught and where it is taught matter. Interestingly, some of the highest-paid disciplines in 4-year institutions </w:t>
      </w:r>
      <w:r w:rsidR="00E25812">
        <w:t>we</w:t>
      </w:r>
      <w:r w:rsidR="00B04190" w:rsidRPr="0052754D">
        <w:t>re the lowest-paid in 2-year, and vice versa. For example, faculty teaching in health fields in 4-year institutions ha</w:t>
      </w:r>
      <w:r w:rsidR="003A6960">
        <w:t>d</w:t>
      </w:r>
      <w:r w:rsidR="00B04190" w:rsidRPr="0052754D">
        <w:t xml:space="preserve"> the highest earnings by discipline</w:t>
      </w:r>
      <w:r w:rsidR="003A6960">
        <w:t xml:space="preserve"> in 2023-24</w:t>
      </w:r>
      <w:r w:rsidR="00B04190" w:rsidRPr="0052754D">
        <w:t>, averaging about $12</w:t>
      </w:r>
      <w:r w:rsidR="00B04190">
        <w:t>7</w:t>
      </w:r>
      <w:r w:rsidR="00B04190" w:rsidRPr="0052754D">
        <w:t xml:space="preserve">,000, yet health faculty </w:t>
      </w:r>
      <w:r w:rsidR="003A6960">
        <w:t>we</w:t>
      </w:r>
      <w:r w:rsidR="00B04190" w:rsidRPr="0052754D">
        <w:t xml:space="preserve">re the lowest-paid in </w:t>
      </w:r>
      <w:r w:rsidR="00E25812">
        <w:t>2</w:t>
      </w:r>
      <w:r w:rsidR="00B04190" w:rsidRPr="0052754D">
        <w:t>-year institutions, $8</w:t>
      </w:r>
      <w:r w:rsidR="00B04190">
        <w:t>2</w:t>
      </w:r>
      <w:r w:rsidR="00B04190" w:rsidRPr="0052754D">
        <w:t xml:space="preserve">,000 (Figure 10). On the other hand, </w:t>
      </w:r>
      <w:r w:rsidR="003A6960">
        <w:t xml:space="preserve">education and library science </w:t>
      </w:r>
      <w:r w:rsidR="00B04190" w:rsidRPr="0052754D">
        <w:t xml:space="preserve">faculty </w:t>
      </w:r>
      <w:r w:rsidR="003A6960">
        <w:t>we</w:t>
      </w:r>
      <w:r w:rsidR="00B04190" w:rsidRPr="0052754D">
        <w:t xml:space="preserve">re </w:t>
      </w:r>
      <w:r w:rsidR="00B04190">
        <w:t xml:space="preserve">among </w:t>
      </w:r>
      <w:r w:rsidR="00B04190" w:rsidRPr="0052754D">
        <w:t>the lowest-paid in 4-year institutions, $</w:t>
      </w:r>
      <w:r w:rsidR="003A6960">
        <w:t>80</w:t>
      </w:r>
      <w:r w:rsidR="00B04190">
        <w:t>,000</w:t>
      </w:r>
      <w:r w:rsidR="00B04190" w:rsidRPr="0052754D">
        <w:t>, but at an average of $9</w:t>
      </w:r>
      <w:r w:rsidR="003A6960">
        <w:t>2</w:t>
      </w:r>
      <w:r w:rsidR="00B04190" w:rsidRPr="0052754D">
        <w:t xml:space="preserve">,000, </w:t>
      </w:r>
      <w:r w:rsidR="003A6960">
        <w:t>we</w:t>
      </w:r>
      <w:r w:rsidR="00B04190" w:rsidRPr="0052754D">
        <w:t xml:space="preserve">re </w:t>
      </w:r>
      <w:r w:rsidR="003A6960">
        <w:t>mid-</w:t>
      </w:r>
      <w:r w:rsidR="00B04190" w:rsidRPr="0052754D">
        <w:t xml:space="preserve">range at 2-year colleges. </w:t>
      </w:r>
      <w:r w:rsidR="003A6960" w:rsidRPr="003A6960">
        <w:t xml:space="preserve">Physical science faculty </w:t>
      </w:r>
      <w:r w:rsidR="003A6960">
        <w:t>we</w:t>
      </w:r>
      <w:r w:rsidR="003A6960" w:rsidRPr="003A6960">
        <w:t>re the highest-paid at 2-year colleges, earning an average of $104,000. At 4-year institutions, while they earn</w:t>
      </w:r>
      <w:r w:rsidR="001B2570">
        <w:t>ed</w:t>
      </w:r>
      <w:r w:rsidR="003A6960" w:rsidRPr="003A6960">
        <w:t xml:space="preserve"> an average of $106,000</w:t>
      </w:r>
      <w:r w:rsidR="00E25812">
        <w:t xml:space="preserve">, </w:t>
      </w:r>
      <w:r w:rsidR="003A6960" w:rsidRPr="003A6960">
        <w:t>this salary falls in the mid-range compared to other disciplines at 4-year institutions.</w:t>
      </w:r>
      <w:r w:rsidR="00B04190" w:rsidRPr="0052754D">
        <w:t xml:space="preserve"> </w:t>
      </w:r>
      <w:r w:rsidR="00E25812">
        <w:t>Salaries of faculty teaching e</w:t>
      </w:r>
      <w:r w:rsidR="00B04190" w:rsidRPr="0052754D">
        <w:t>ngineering and architecture, and business</w:t>
      </w:r>
      <w:r w:rsidR="00E25812">
        <w:t xml:space="preserve"> </w:t>
      </w:r>
      <w:r w:rsidR="00B04190" w:rsidRPr="0052754D">
        <w:t>ranked 2</w:t>
      </w:r>
      <w:r w:rsidR="00B04190" w:rsidRPr="0052754D">
        <w:rPr>
          <w:vertAlign w:val="superscript"/>
        </w:rPr>
        <w:t>nd</w:t>
      </w:r>
      <w:r w:rsidR="00B04190" w:rsidRPr="0052754D">
        <w:t xml:space="preserve"> and 3</w:t>
      </w:r>
      <w:r w:rsidR="00B04190" w:rsidRPr="0052754D">
        <w:rPr>
          <w:vertAlign w:val="superscript"/>
        </w:rPr>
        <w:t>rd</w:t>
      </w:r>
      <w:r w:rsidR="00B04190" w:rsidRPr="0052754D">
        <w:t xml:space="preserve"> in 4-year institutions, but </w:t>
      </w:r>
      <w:r w:rsidR="00E25812">
        <w:t xml:space="preserve">were in the </w:t>
      </w:r>
      <w:r w:rsidR="00B04190" w:rsidRPr="0052754D">
        <w:t xml:space="preserve">mid-range at 2-year institutions. </w:t>
      </w:r>
      <w:r w:rsidR="003A6960">
        <w:t>In 2023-24, only</w:t>
      </w:r>
      <w:r w:rsidR="00B04190">
        <w:t xml:space="preserve"> </w:t>
      </w:r>
      <w:r w:rsidR="00B04190" w:rsidRPr="0052754D">
        <w:t xml:space="preserve">arts, communications, history, humanities, </w:t>
      </w:r>
      <w:r w:rsidR="003A6960">
        <w:t xml:space="preserve">and </w:t>
      </w:r>
      <w:r w:rsidR="00B04190" w:rsidRPr="0052754D">
        <w:t xml:space="preserve">education and library science </w:t>
      </w:r>
      <w:r w:rsidR="003A6960">
        <w:t xml:space="preserve">faculty </w:t>
      </w:r>
      <w:r w:rsidR="00B04190" w:rsidRPr="0052754D">
        <w:t>earn</w:t>
      </w:r>
      <w:r w:rsidR="003A6960">
        <w:t>ed</w:t>
      </w:r>
      <w:r w:rsidR="00B04190" w:rsidRPr="0052754D">
        <w:t xml:space="preserve"> more in 2-year colleges than </w:t>
      </w:r>
      <w:r w:rsidR="00E25812">
        <w:t xml:space="preserve">their colleagues </w:t>
      </w:r>
      <w:r w:rsidR="003A6960">
        <w:t xml:space="preserve">teaching </w:t>
      </w:r>
      <w:r w:rsidR="00B04190" w:rsidRPr="0052754D">
        <w:t xml:space="preserve">in 4-year colleges. </w:t>
      </w:r>
    </w:p>
    <w:p w14:paraId="378EC4A6" w14:textId="765040E3" w:rsidR="001B2570" w:rsidRDefault="001B2570" w:rsidP="005F4FBA">
      <w:r w:rsidRPr="001B2570">
        <w:t xml:space="preserve">The range in salaries by discipline </w:t>
      </w:r>
      <w:r>
        <w:t>wa</w:t>
      </w:r>
      <w:r w:rsidRPr="001B2570">
        <w:t>s three times larger at 4-year institutions compared to 2-year colleges. At 4-year institutions, salaries range</w:t>
      </w:r>
      <w:r>
        <w:t>d</w:t>
      </w:r>
      <w:r w:rsidRPr="001B2570">
        <w:t xml:space="preserve"> from a high of $127,000 for health faculty to a low of $80,000 for education and library science faculty, a range of $47,000. In contrast, 2-year college faculty salaries ha</w:t>
      </w:r>
      <w:r>
        <w:t>d</w:t>
      </w:r>
      <w:r w:rsidRPr="001B2570">
        <w:t xml:space="preserve"> a much narrower range of $22,000, with physical science faculty earning a high of $104,000 and health faculty earning a low of $82,000.</w:t>
      </w:r>
    </w:p>
    <w:p w14:paraId="43E5167F" w14:textId="000DC82F" w:rsidR="00B04190" w:rsidRPr="0052754D" w:rsidRDefault="00B04190" w:rsidP="001D03C3">
      <w:r w:rsidRPr="0052754D">
        <w:rPr>
          <w:b/>
          <w:bCs/>
        </w:rPr>
        <w:t>The Union Advantage</w:t>
      </w:r>
      <w:r w:rsidRPr="0052754D">
        <w:t>. Research shows that strong labor unions support middle-class workers and help to ensure a robust economy. And, unions are found to address worker challenges, such as flat wages, high housing prices, and help to improve intergenerational mobility.</w:t>
      </w:r>
      <w:r w:rsidRPr="0052754D">
        <w:rPr>
          <w:rStyle w:val="EndnoteReference"/>
        </w:rPr>
        <w:endnoteReference w:id="7"/>
      </w:r>
      <w:r w:rsidRPr="0052754D">
        <w:t xml:space="preserve"> “… Middle-class workers reap substantial benefits from unionization. Unions raise the wages of their members by 10 to 15 percent. Unions also improve fringe benefits and workplace procedures such as retirement plans, workplace </w:t>
      </w:r>
      <w:r w:rsidRPr="0052754D">
        <w:lastRenderedPageBreak/>
        <w:t>grievance policies, and predictable scheduling.”</w:t>
      </w:r>
      <w:r w:rsidRPr="0052754D">
        <w:rPr>
          <w:rStyle w:val="EndnoteReference"/>
        </w:rPr>
        <w:endnoteReference w:id="8"/>
      </w:r>
      <w:r w:rsidRPr="0052754D">
        <w:t xml:space="preserve"> Further, unions help to reduce gender and race wage gaps.</w:t>
      </w:r>
      <w:r w:rsidRPr="0052754D">
        <w:rPr>
          <w:rStyle w:val="EndnoteReference"/>
        </w:rPr>
        <w:endnoteReference w:id="9"/>
      </w:r>
      <w:r w:rsidRPr="0052754D">
        <w:t xml:space="preserve"> And, spillover effects work to improve wages and conditions at non-unionized industry competitors and nearby organizations and businesses.</w:t>
      </w:r>
      <w:r w:rsidRPr="0052754D">
        <w:rPr>
          <w:rStyle w:val="EndnoteReference"/>
        </w:rPr>
        <w:endnoteReference w:id="10"/>
      </w:r>
      <w:r w:rsidRPr="0052754D">
        <w:t xml:space="preserve"> </w:t>
      </w:r>
    </w:p>
    <w:p w14:paraId="670C601D" w14:textId="508E7398" w:rsidR="00820962" w:rsidRDefault="00820962" w:rsidP="005F4FBA">
      <w:r>
        <w:rPr>
          <w:noProof/>
        </w:rPr>
        <w:drawing>
          <wp:anchor distT="0" distB="0" distL="114300" distR="114300" simplePos="0" relativeHeight="251725312" behindDoc="0" locked="0" layoutInCell="1" allowOverlap="1" wp14:anchorId="03F573AD" wp14:editId="39A40099">
            <wp:simplePos x="0" y="0"/>
            <wp:positionH relativeFrom="column">
              <wp:posOffset>0</wp:posOffset>
            </wp:positionH>
            <wp:positionV relativeFrom="paragraph">
              <wp:posOffset>0</wp:posOffset>
            </wp:positionV>
            <wp:extent cx="2768600" cy="3898900"/>
            <wp:effectExtent l="0" t="0" r="0" b="0"/>
            <wp:wrapSquare wrapText="bothSides"/>
            <wp:docPr id="1804178708" name="Picture 2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78708" name="Picture 24" descr="A screenshot of a graph&#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768600" cy="3898900"/>
                    </a:xfrm>
                    <a:prstGeom prst="rect">
                      <a:avLst/>
                    </a:prstGeom>
                  </pic:spPr>
                </pic:pic>
              </a:graphicData>
            </a:graphic>
            <wp14:sizeRelH relativeFrom="page">
              <wp14:pctWidth>0</wp14:pctWidth>
            </wp14:sizeRelH>
            <wp14:sizeRelV relativeFrom="page">
              <wp14:pctHeight>0</wp14:pctHeight>
            </wp14:sizeRelV>
          </wp:anchor>
        </w:drawing>
      </w:r>
      <w:r w:rsidR="00E25812">
        <w:t>Salary analysis of t</w:t>
      </w:r>
      <w:r w:rsidR="00B04190" w:rsidRPr="0052754D">
        <w:t>he presence of unions in higher education validates the above research</w:t>
      </w:r>
      <w:r w:rsidR="00C35683">
        <w:t xml:space="preserve"> – </w:t>
      </w:r>
      <w:r w:rsidR="00B04190" w:rsidRPr="0052754D">
        <w:t xml:space="preserve">regardless of institution type, faculty teaching at institutions with </w:t>
      </w:r>
      <w:r w:rsidR="00B04190">
        <w:t>collective bargaining agreements</w:t>
      </w:r>
      <w:r w:rsidR="00B04190" w:rsidRPr="0052754D">
        <w:t xml:space="preserve"> earn</w:t>
      </w:r>
      <w:r w:rsidR="001B2570">
        <w:t>ed</w:t>
      </w:r>
      <w:r w:rsidR="00B04190" w:rsidRPr="0052754D">
        <w:t xml:space="preserve"> more than others, and the difference is considerable in some cases. Figure 11 illustrates the faculty salaries for (1) institutions with faculty </w:t>
      </w:r>
      <w:r w:rsidR="00B04190">
        <w:t>bargaining agreements</w:t>
      </w:r>
      <w:r w:rsidR="00B04190" w:rsidRPr="0052754D">
        <w:t xml:space="preserve">, (2) institutions in the same states, but without faculty </w:t>
      </w:r>
      <w:r w:rsidR="00B04190">
        <w:t>bargaining agreements</w:t>
      </w:r>
      <w:r w:rsidR="00B04190" w:rsidRPr="0052754D">
        <w:t xml:space="preserve">, and (3) institutions in states where no faculty </w:t>
      </w:r>
      <w:r w:rsidR="00B04190">
        <w:t xml:space="preserve">collective bargaining agreements </w:t>
      </w:r>
      <w:r w:rsidR="00B04190" w:rsidRPr="0052754D">
        <w:t>exist in colleges and universities. Community college faculty with the presence of contracts ha</w:t>
      </w:r>
      <w:r w:rsidR="00803643">
        <w:t>d</w:t>
      </w:r>
      <w:r w:rsidR="00B04190" w:rsidRPr="0052754D">
        <w:t xml:space="preserve"> the largest advantage and earn</w:t>
      </w:r>
      <w:r w:rsidR="00803643">
        <w:t>ed</w:t>
      </w:r>
      <w:r w:rsidR="00B04190" w:rsidRPr="0052754D">
        <w:t>, on average, about $</w:t>
      </w:r>
      <w:r w:rsidR="00B04190">
        <w:t>20</w:t>
      </w:r>
      <w:r w:rsidR="00B04190" w:rsidRPr="0052754D">
        <w:t xml:space="preserve">,000 more than their colleagues in the same states but teaching at colleges without contracts. The earnings advantage for unionized faculty in comprehensive institutions </w:t>
      </w:r>
      <w:r w:rsidR="00803643">
        <w:t>wa</w:t>
      </w:r>
      <w:r w:rsidR="00B04190" w:rsidRPr="0052754D">
        <w:t>s $1</w:t>
      </w:r>
      <w:r w:rsidR="00803643">
        <w:t>1</w:t>
      </w:r>
      <w:r w:rsidR="00B04190" w:rsidRPr="0052754D">
        <w:t>,000, and $</w:t>
      </w:r>
      <w:r w:rsidR="00B04190">
        <w:t>6</w:t>
      </w:r>
      <w:r w:rsidR="00B04190" w:rsidRPr="0052754D">
        <w:t xml:space="preserve">,000 for faculty in research universities. At </w:t>
      </w:r>
      <w:r w:rsidR="00F02041">
        <w:t>baccalaureate</w:t>
      </w:r>
      <w:r w:rsidR="00B04190" w:rsidRPr="0052754D">
        <w:t xml:space="preserve"> institutions—a very small sector—the earnings advantage is about $1,000.</w:t>
      </w:r>
    </w:p>
    <w:p w14:paraId="4A748A4C" w14:textId="73EA654A" w:rsidR="00820962" w:rsidRDefault="00820962" w:rsidP="00820962">
      <w:r>
        <w:t>N</w:t>
      </w:r>
      <w:r w:rsidRPr="0052754D">
        <w:t xml:space="preserve">otably, faculty salaries in states with no collective bargaining are the lowest. This finding aligns with the notion that the presence of unions, regardless of membership, increases benefits for non-members. However, additional factors should be considered, as the states without faculty contracts may have different economies than those with collective bargaining activity. For example, these are largely southern states with lower cost of living. Faculty salaries in institutions with contracts and those in the same states, but without contracts, are the most comparable. </w:t>
      </w:r>
    </w:p>
    <w:p w14:paraId="105824FF" w14:textId="599903DF" w:rsidR="00820962" w:rsidRDefault="00820962" w:rsidP="00820962">
      <w:r>
        <w:rPr>
          <w:b/>
          <w:bCs/>
        </w:rPr>
        <w:t>T</w:t>
      </w:r>
      <w:r w:rsidRPr="0052754D">
        <w:rPr>
          <w:b/>
          <w:bCs/>
        </w:rPr>
        <w:t>he HBCU Disadvantage</w:t>
      </w:r>
      <w:r w:rsidRPr="0052754D">
        <w:t>. There are 10</w:t>
      </w:r>
      <w:r>
        <w:t>7</w:t>
      </w:r>
      <w:r w:rsidRPr="0052754D">
        <w:t xml:space="preserve"> Historically Black Colleges and Universities (HBCUs) in the U.S. HBCUs provide higher education via a campus climate that fosters success, and where students of color feel comfortable, supported, and safe.</w:t>
      </w:r>
      <w:r w:rsidRPr="0052754D">
        <w:rPr>
          <w:rStyle w:val="EndnoteReference"/>
        </w:rPr>
        <w:endnoteReference w:id="11"/>
      </w:r>
      <w:r w:rsidRPr="0052754D">
        <w:t xml:space="preserve"> </w:t>
      </w:r>
      <w:r w:rsidRPr="00D84C91">
        <w:t>Although HBCUs play a crucial role in accelerating social mobility for underserved students, they do so with fewer resources, and their faculty earn less than those at non-HBCUs. Additionally, federal funding for HBCUs is now under threat due to the current presidential administration's attacks on government spending related to diversity, equity, and inclusion.</w:t>
      </w:r>
      <w:r>
        <w:rPr>
          <w:rStyle w:val="EndnoteReference"/>
        </w:rPr>
        <w:endnoteReference w:id="12"/>
      </w:r>
      <w:r>
        <w:t xml:space="preserve"> </w:t>
      </w:r>
    </w:p>
    <w:p w14:paraId="1A2B75F0" w14:textId="77777777" w:rsidR="00820962" w:rsidRPr="0052754D" w:rsidRDefault="00820962" w:rsidP="00820962"/>
    <w:p w14:paraId="73DEEE9A" w14:textId="77777777" w:rsidR="00820962" w:rsidRDefault="00820962" w:rsidP="005F4FBA"/>
    <w:p w14:paraId="7F32BBFC" w14:textId="75596071" w:rsidR="00820962" w:rsidRPr="0052754D" w:rsidRDefault="00820962" w:rsidP="00D84C91">
      <w:r w:rsidRPr="0052754D">
        <w:rPr>
          <w:b/>
          <w:bCs/>
          <w:noProof/>
        </w:rPr>
        <w:lastRenderedPageBreak/>
        <mc:AlternateContent>
          <mc:Choice Requires="wps">
            <w:drawing>
              <wp:anchor distT="91440" distB="91440" distL="114300" distR="114300" simplePos="0" relativeHeight="251709952" behindDoc="0" locked="0" layoutInCell="1" allowOverlap="1" wp14:anchorId="509C5AAA" wp14:editId="17F0F5D1">
                <wp:simplePos x="0" y="0"/>
                <wp:positionH relativeFrom="page">
                  <wp:posOffset>4820920</wp:posOffset>
                </wp:positionH>
                <wp:positionV relativeFrom="paragraph">
                  <wp:posOffset>2988945</wp:posOffset>
                </wp:positionV>
                <wp:extent cx="1974850" cy="379031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3790315"/>
                        </a:xfrm>
                        <a:prstGeom prst="rect">
                          <a:avLst/>
                        </a:prstGeom>
                        <a:noFill/>
                        <a:ln w="9525">
                          <a:noFill/>
                          <a:miter lim="800000"/>
                          <a:headEnd/>
                          <a:tailEnd/>
                        </a:ln>
                      </wps:spPr>
                      <wps:txbx>
                        <w:txbxContent>
                          <w:p w14:paraId="6C4738F9" w14:textId="4848C99F" w:rsidR="00B04190" w:rsidRPr="00030A9E" w:rsidRDefault="00B04190" w:rsidP="00AB2ABD">
                            <w:pPr>
                              <w:pBdr>
                                <w:top w:val="single" w:sz="24" w:space="8" w:color="4472C4" w:themeColor="accent1"/>
                                <w:bottom w:val="single" w:sz="24" w:space="8" w:color="4472C4" w:themeColor="accent1"/>
                              </w:pBdr>
                              <w:spacing w:after="0"/>
                              <w:rPr>
                                <w:i/>
                                <w:iCs/>
                                <w:color w:val="4472C4" w:themeColor="accent1"/>
                                <w:sz w:val="20"/>
                                <w:szCs w:val="18"/>
                              </w:rPr>
                            </w:pPr>
                            <w:r w:rsidRPr="00030A9E">
                              <w:rPr>
                                <w:i/>
                                <w:iCs/>
                                <w:color w:val="4472C4" w:themeColor="accent1"/>
                                <w:sz w:val="20"/>
                                <w:szCs w:val="20"/>
                              </w:rPr>
                              <w:t>The student environment fit is very important for student success. HBCU</w:t>
                            </w:r>
                            <w:r>
                              <w:rPr>
                                <w:i/>
                                <w:iCs/>
                                <w:color w:val="4472C4" w:themeColor="accent1"/>
                                <w:sz w:val="20"/>
                                <w:szCs w:val="20"/>
                              </w:rPr>
                              <w:t>s</w:t>
                            </w:r>
                            <w:r w:rsidRPr="00030A9E">
                              <w:rPr>
                                <w:i/>
                                <w:iCs/>
                                <w:color w:val="4472C4" w:themeColor="accent1"/>
                                <w:sz w:val="20"/>
                                <w:szCs w:val="20"/>
                              </w:rPr>
                              <w:t xml:space="preserve"> </w:t>
                            </w:r>
                            <w:r>
                              <w:rPr>
                                <w:i/>
                                <w:iCs/>
                                <w:color w:val="4472C4" w:themeColor="accent1"/>
                                <w:sz w:val="20"/>
                                <w:szCs w:val="20"/>
                              </w:rPr>
                              <w:t>have been found to “outperform non-HBCUs in student experience, affordability, and after college preparedness for Black students”</w:t>
                            </w:r>
                            <w:r w:rsidRPr="000973E2">
                              <w:rPr>
                                <w:i/>
                                <w:iCs/>
                                <w:color w:val="4472C4" w:themeColor="accent1"/>
                                <w:sz w:val="20"/>
                                <w:szCs w:val="20"/>
                              </w:rPr>
                              <w:t>.</w:t>
                            </w:r>
                            <w:r w:rsidRPr="000973E2">
                              <w:rPr>
                                <w:i/>
                                <w:iCs/>
                                <w:color w:val="4472C4" w:themeColor="accent1"/>
                                <w:sz w:val="20"/>
                                <w:szCs w:val="20"/>
                                <w:vertAlign w:val="superscript"/>
                              </w:rPr>
                              <w:t>1</w:t>
                            </w:r>
                            <w:r w:rsidRPr="00030A9E">
                              <w:rPr>
                                <w:i/>
                                <w:iCs/>
                                <w:color w:val="4472C4" w:themeColor="accent1"/>
                                <w:sz w:val="20"/>
                                <w:szCs w:val="20"/>
                              </w:rPr>
                              <w:t xml:space="preserve"> HBCUs are “best value” institutions of higher education and provide quality education at </w:t>
                            </w:r>
                            <w:r>
                              <w:rPr>
                                <w:i/>
                                <w:iCs/>
                                <w:color w:val="4472C4" w:themeColor="accent1"/>
                                <w:sz w:val="20"/>
                                <w:szCs w:val="20"/>
                              </w:rPr>
                              <w:t>27</w:t>
                            </w:r>
                            <w:r w:rsidRPr="00030A9E">
                              <w:rPr>
                                <w:i/>
                                <w:iCs/>
                                <w:color w:val="4472C4" w:themeColor="accent1"/>
                                <w:sz w:val="20"/>
                                <w:szCs w:val="20"/>
                              </w:rPr>
                              <w:t xml:space="preserve"> percent lower cost than comparable institutions.</w:t>
                            </w:r>
                            <w:r w:rsidRPr="000973E2">
                              <w:rPr>
                                <w:i/>
                                <w:iCs/>
                                <w:color w:val="4472C4" w:themeColor="accent1"/>
                                <w:sz w:val="20"/>
                                <w:szCs w:val="20"/>
                                <w:vertAlign w:val="superscript"/>
                              </w:rPr>
                              <w:t>2</w:t>
                            </w:r>
                            <w:r w:rsidRPr="00030A9E">
                              <w:rPr>
                                <w:i/>
                                <w:iCs/>
                                <w:color w:val="4472C4" w:themeColor="accent1"/>
                                <w:sz w:val="20"/>
                                <w:szCs w:val="20"/>
                              </w:rPr>
                              <w:t xml:space="preserve"> HBCUs represent only three percent of higher education institutions but they enroll 10 percent of higher education’s African American </w:t>
                            </w:r>
                            <w:r>
                              <w:rPr>
                                <w:i/>
                                <w:iCs/>
                                <w:color w:val="4472C4" w:themeColor="accent1"/>
                                <w:sz w:val="20"/>
                                <w:szCs w:val="20"/>
                              </w:rPr>
                              <w:t>students</w:t>
                            </w:r>
                            <w:r w:rsidRPr="00030A9E">
                              <w:rPr>
                                <w:i/>
                                <w:iCs/>
                                <w:color w:val="4472C4" w:themeColor="accent1"/>
                                <w:sz w:val="20"/>
                                <w:szCs w:val="20"/>
                              </w:rPr>
                              <w:t>, produce 15 percent of the African American bachelor’s degree recipients, and 19 percent of black STEM degree recipients</w:t>
                            </w:r>
                            <w:r>
                              <w:rPr>
                                <w:i/>
                                <w:iCs/>
                                <w:color w:val="4472C4" w:themeColor="accent1"/>
                                <w:sz w:val="20"/>
                                <w:szCs w:val="20"/>
                              </w:rPr>
                              <w:t>.</w:t>
                            </w:r>
                            <w:r>
                              <w:rPr>
                                <w:i/>
                                <w:iCs/>
                                <w:color w:val="4472C4" w:themeColor="accent1"/>
                                <w:sz w:val="20"/>
                                <w:szCs w:val="20"/>
                                <w:vertAlign w:val="superscript"/>
                              </w:rPr>
                              <w:t>3</w:t>
                            </w:r>
                            <w:r w:rsidR="00803643">
                              <w:rPr>
                                <w:i/>
                                <w:iCs/>
                                <w:color w:val="4472C4" w:themeColor="accent1"/>
                                <w:sz w:val="20"/>
                                <w:szCs w:val="20"/>
                                <w:vertAlign w:val="superscript"/>
                              </w:rPr>
                              <w:t>,</w:t>
                            </w:r>
                            <w:r>
                              <w:rPr>
                                <w:i/>
                                <w:iCs/>
                                <w:color w:val="4472C4" w:themeColor="accent1"/>
                                <w:sz w:val="20"/>
                                <w:szCs w:val="20"/>
                                <w:vertAlign w:val="superscript"/>
                              </w:rPr>
                              <w:t xml:space="preserv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9C5AAA" id="_x0000_t202" coordsize="21600,21600" o:spt="202" path="m,l,21600r21600,l21600,xe">
                <v:stroke joinstyle="miter"/>
                <v:path gradientshapeok="t" o:connecttype="rect"/>
              </v:shapetype>
              <v:shape id="Text Box 2" o:spid="_x0000_s1026" type="#_x0000_t202" style="position:absolute;margin-left:379.6pt;margin-top:235.35pt;width:155.5pt;height:298.45pt;z-index:25170995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" filled="f" stroked="f">
                <v:textbox>
                  <w:txbxContent>
                    <w:p w14:paraId="6C4738F9" w14:textId="4848C99F" w:rsidR="00B04190" w:rsidRPr="00030A9E" w:rsidRDefault="00B04190" w:rsidP="00AB2ABD">
                      <w:pPr>
                        <w:pBdr>
                          <w:top w:val="single" w:sz="24" w:space="8" w:color="4472C4" w:themeColor="accent1"/>
                          <w:bottom w:val="single" w:sz="24" w:space="8" w:color="4472C4" w:themeColor="accent1"/>
                        </w:pBdr>
                        <w:spacing w:after="0"/>
                        <w:rPr>
                          <w:i/>
                          <w:iCs/>
                          <w:color w:val="4472C4" w:themeColor="accent1"/>
                          <w:sz w:val="20"/>
                          <w:szCs w:val="18"/>
                        </w:rPr>
                      </w:pPr>
                      <w:r w:rsidRPr="00030A9E">
                        <w:rPr>
                          <w:i/>
                          <w:iCs/>
                          <w:color w:val="4472C4" w:themeColor="accent1"/>
                          <w:sz w:val="20"/>
                          <w:szCs w:val="20"/>
                        </w:rPr>
                        <w:t>The student environment fit is very important for student success. HBCU</w:t>
                      </w:r>
                      <w:r>
                        <w:rPr>
                          <w:i/>
                          <w:iCs/>
                          <w:color w:val="4472C4" w:themeColor="accent1"/>
                          <w:sz w:val="20"/>
                          <w:szCs w:val="20"/>
                        </w:rPr>
                        <w:t>s</w:t>
                      </w:r>
                      <w:r w:rsidRPr="00030A9E">
                        <w:rPr>
                          <w:i/>
                          <w:iCs/>
                          <w:color w:val="4472C4" w:themeColor="accent1"/>
                          <w:sz w:val="20"/>
                          <w:szCs w:val="20"/>
                        </w:rPr>
                        <w:t xml:space="preserve"> </w:t>
                      </w:r>
                      <w:r>
                        <w:rPr>
                          <w:i/>
                          <w:iCs/>
                          <w:color w:val="4472C4" w:themeColor="accent1"/>
                          <w:sz w:val="20"/>
                          <w:szCs w:val="20"/>
                        </w:rPr>
                        <w:t>have been found to “outperform non-HBCUs in student experience, affordability, and after college preparedness for Black students”</w:t>
                      </w:r>
                      <w:r w:rsidRPr="000973E2">
                        <w:rPr>
                          <w:i/>
                          <w:iCs/>
                          <w:color w:val="4472C4" w:themeColor="accent1"/>
                          <w:sz w:val="20"/>
                          <w:szCs w:val="20"/>
                        </w:rPr>
                        <w:t>.</w:t>
                      </w:r>
                      <w:r w:rsidRPr="000973E2">
                        <w:rPr>
                          <w:i/>
                          <w:iCs/>
                          <w:color w:val="4472C4" w:themeColor="accent1"/>
                          <w:sz w:val="20"/>
                          <w:szCs w:val="20"/>
                          <w:vertAlign w:val="superscript"/>
                        </w:rPr>
                        <w:t>1</w:t>
                      </w:r>
                      <w:r w:rsidRPr="00030A9E">
                        <w:rPr>
                          <w:i/>
                          <w:iCs/>
                          <w:color w:val="4472C4" w:themeColor="accent1"/>
                          <w:sz w:val="20"/>
                          <w:szCs w:val="20"/>
                        </w:rPr>
                        <w:t xml:space="preserve"> HBCUs are “best value” institutions of higher education and provide quality education at </w:t>
                      </w:r>
                      <w:r>
                        <w:rPr>
                          <w:i/>
                          <w:iCs/>
                          <w:color w:val="4472C4" w:themeColor="accent1"/>
                          <w:sz w:val="20"/>
                          <w:szCs w:val="20"/>
                        </w:rPr>
                        <w:t>27</w:t>
                      </w:r>
                      <w:r w:rsidRPr="00030A9E">
                        <w:rPr>
                          <w:i/>
                          <w:iCs/>
                          <w:color w:val="4472C4" w:themeColor="accent1"/>
                          <w:sz w:val="20"/>
                          <w:szCs w:val="20"/>
                        </w:rPr>
                        <w:t xml:space="preserve"> percent lower cost than comparable institutions.</w:t>
                      </w:r>
                      <w:r w:rsidRPr="000973E2">
                        <w:rPr>
                          <w:i/>
                          <w:iCs/>
                          <w:color w:val="4472C4" w:themeColor="accent1"/>
                          <w:sz w:val="20"/>
                          <w:szCs w:val="20"/>
                          <w:vertAlign w:val="superscript"/>
                        </w:rPr>
                        <w:t>2</w:t>
                      </w:r>
                      <w:r w:rsidRPr="00030A9E">
                        <w:rPr>
                          <w:i/>
                          <w:iCs/>
                          <w:color w:val="4472C4" w:themeColor="accent1"/>
                          <w:sz w:val="20"/>
                          <w:szCs w:val="20"/>
                        </w:rPr>
                        <w:t xml:space="preserve"> HBCUs represent only three percent of higher education institutions but they enroll 10 percent of higher education’s African American </w:t>
                      </w:r>
                      <w:r>
                        <w:rPr>
                          <w:i/>
                          <w:iCs/>
                          <w:color w:val="4472C4" w:themeColor="accent1"/>
                          <w:sz w:val="20"/>
                          <w:szCs w:val="20"/>
                        </w:rPr>
                        <w:t>students</w:t>
                      </w:r>
                      <w:r w:rsidRPr="00030A9E">
                        <w:rPr>
                          <w:i/>
                          <w:iCs/>
                          <w:color w:val="4472C4" w:themeColor="accent1"/>
                          <w:sz w:val="20"/>
                          <w:szCs w:val="20"/>
                        </w:rPr>
                        <w:t>, produce 15 percent of the African American bachelor’s degree recipients, and 19 percent of black STEM degree recipients</w:t>
                      </w:r>
                      <w:r>
                        <w:rPr>
                          <w:i/>
                          <w:iCs/>
                          <w:color w:val="4472C4" w:themeColor="accent1"/>
                          <w:sz w:val="20"/>
                          <w:szCs w:val="20"/>
                        </w:rPr>
                        <w:t>.</w:t>
                      </w:r>
                      <w:r>
                        <w:rPr>
                          <w:i/>
                          <w:iCs/>
                          <w:color w:val="4472C4" w:themeColor="accent1"/>
                          <w:sz w:val="20"/>
                          <w:szCs w:val="20"/>
                          <w:vertAlign w:val="superscript"/>
                        </w:rPr>
                        <w:t>3</w:t>
                      </w:r>
                      <w:r w:rsidR="00803643">
                        <w:rPr>
                          <w:i/>
                          <w:iCs/>
                          <w:color w:val="4472C4" w:themeColor="accent1"/>
                          <w:sz w:val="20"/>
                          <w:szCs w:val="20"/>
                          <w:vertAlign w:val="superscript"/>
                        </w:rPr>
                        <w:t>,</w:t>
                      </w:r>
                      <w:r>
                        <w:rPr>
                          <w:i/>
                          <w:iCs/>
                          <w:color w:val="4472C4" w:themeColor="accent1"/>
                          <w:sz w:val="20"/>
                          <w:szCs w:val="20"/>
                          <w:vertAlign w:val="superscript"/>
                        </w:rPr>
                        <w:t xml:space="preserve"> 4</w:t>
                      </w:r>
                    </w:p>
                  </w:txbxContent>
                </v:textbox>
                <w10:wrap type="square" anchorx="page"/>
              </v:shape>
            </w:pict>
          </mc:Fallback>
        </mc:AlternateContent>
      </w:r>
      <w:r>
        <w:rPr>
          <w:noProof/>
        </w:rPr>
        <w:drawing>
          <wp:anchor distT="0" distB="0" distL="114300" distR="114300" simplePos="0" relativeHeight="251727360" behindDoc="0" locked="0" layoutInCell="1" allowOverlap="1" wp14:anchorId="7DA9676E" wp14:editId="0C50F562">
            <wp:simplePos x="0" y="0"/>
            <wp:positionH relativeFrom="column">
              <wp:posOffset>0</wp:posOffset>
            </wp:positionH>
            <wp:positionV relativeFrom="paragraph">
              <wp:posOffset>49472</wp:posOffset>
            </wp:positionV>
            <wp:extent cx="3863985" cy="2992582"/>
            <wp:effectExtent l="0" t="0" r="0" b="5080"/>
            <wp:wrapSquare wrapText="bothSides"/>
            <wp:docPr id="1330941097" name="Picture 18" descr="A graph of a number of colum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41097" name="Picture 18" descr="A graph of a number of columns&#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3863985" cy="2992582"/>
                    </a:xfrm>
                    <a:prstGeom prst="rect">
                      <a:avLst/>
                    </a:prstGeom>
                  </pic:spPr>
                </pic:pic>
              </a:graphicData>
            </a:graphic>
            <wp14:sizeRelH relativeFrom="page">
              <wp14:pctWidth>0</wp14:pctWidth>
            </wp14:sizeRelH>
            <wp14:sizeRelV relativeFrom="page">
              <wp14:pctHeight>0</wp14:pctHeight>
            </wp14:sizeRelV>
          </wp:anchor>
        </w:drawing>
      </w:r>
      <w:r w:rsidR="00B04190" w:rsidRPr="0052754D">
        <w:t>HBCU Faculty earn</w:t>
      </w:r>
      <w:r w:rsidR="00D84C91">
        <w:t>ed,</w:t>
      </w:r>
      <w:r w:rsidR="00B04190" w:rsidRPr="0052754D">
        <w:t xml:space="preserve"> on average, 75 cents to the dollar of other faculty’s earnings in </w:t>
      </w:r>
      <w:r w:rsidR="00B04190">
        <w:t>2023-24</w:t>
      </w:r>
      <w:r w:rsidR="00D84C91">
        <w:t>;</w:t>
      </w:r>
      <w:r w:rsidR="00B04190" w:rsidRPr="0052754D">
        <w:t xml:space="preserve"> HBCU faculty earned an average of $7</w:t>
      </w:r>
      <w:r w:rsidR="00B04190">
        <w:t>6,751</w:t>
      </w:r>
      <w:r w:rsidR="00B04190" w:rsidRPr="0052754D">
        <w:t xml:space="preserve"> compared with $</w:t>
      </w:r>
      <w:r w:rsidR="00B04190">
        <w:t>102,492</w:t>
      </w:r>
      <w:r w:rsidR="00B04190" w:rsidRPr="0052754D">
        <w:t xml:space="preserve"> earned by faculty at non-HBCUs (Figure 12). </w:t>
      </w:r>
      <w:r w:rsidR="00D84C91" w:rsidRPr="00D84C91">
        <w:t>The disparity is most pronounced in research universities, where HBCU faculty earned $29,000 less than their non-HBCU counterparts in 2023-24. The difference is also significant at baccalaureate institutions, where HBCU faculty earned $24,000 less.</w:t>
      </w:r>
    </w:p>
    <w:p w14:paraId="2F1359E6" w14:textId="26582631" w:rsidR="00B04190" w:rsidRDefault="00B04190" w:rsidP="008D3871">
      <w:r w:rsidRPr="0052754D">
        <w:rPr>
          <w:b/>
          <w:bCs/>
        </w:rPr>
        <w:t xml:space="preserve">Land-grant HBCUs </w:t>
      </w:r>
      <w:r w:rsidRPr="0052754D">
        <w:rPr>
          <w:rFonts w:ascii="Times New Roman" w:hAnsi="Times New Roman" w:cs="Times New Roman"/>
          <w:b/>
          <w:bCs/>
        </w:rPr>
        <w:t>≠</w:t>
      </w:r>
      <w:r w:rsidRPr="0052754D">
        <w:rPr>
          <w:b/>
          <w:bCs/>
        </w:rPr>
        <w:t xml:space="preserve"> Land-grant non-HBCUs</w:t>
      </w:r>
      <w:r w:rsidRPr="0052754D">
        <w:t>.</w:t>
      </w:r>
      <w:r w:rsidR="00D84C91">
        <w:t xml:space="preserve"> </w:t>
      </w:r>
      <w:r w:rsidRPr="0052754D">
        <w:t>Faculty teaching in the HBCU land-grant institutions earn a fraction of those teaching in non-HBCU land-grants. Even when comparing faculty teaching in the same state, and thus taking different economies into account,</w:t>
      </w:r>
      <w:r w:rsidRPr="0052754D" w:rsidDel="002D397E">
        <w:t xml:space="preserve"> </w:t>
      </w:r>
      <w:r w:rsidRPr="0052754D">
        <w:t>some HBCU faculty earn</w:t>
      </w:r>
      <w:r w:rsidR="00C35683">
        <w:t>ed</w:t>
      </w:r>
      <w:r w:rsidRPr="0052754D">
        <w:t xml:space="preserve"> just half of those teaching in non-HBCU land-grants. HBCU faculty teaching in </w:t>
      </w:r>
      <w:r>
        <w:t xml:space="preserve">Ohio and </w:t>
      </w:r>
      <w:r w:rsidRPr="0052754D">
        <w:t>Missouri earn</w:t>
      </w:r>
      <w:r w:rsidR="00FD6811">
        <w:t>ed</w:t>
      </w:r>
      <w:r w:rsidRPr="0052754D">
        <w:t xml:space="preserve"> 5</w:t>
      </w:r>
      <w:r>
        <w:t>2</w:t>
      </w:r>
      <w:r w:rsidRPr="0052754D">
        <w:t xml:space="preserve"> </w:t>
      </w:r>
      <w:r>
        <w:t xml:space="preserve">and 54 </w:t>
      </w:r>
      <w:r w:rsidRPr="0052754D">
        <w:t>cents to the dollar, compared with non-HBCU colleagues</w:t>
      </w:r>
      <w:r w:rsidR="00472918">
        <w:t>, respectively</w:t>
      </w:r>
      <w:r w:rsidRPr="0052754D">
        <w:t xml:space="preserve"> (Figure 13; Lincoln University and </w:t>
      </w:r>
      <w:r w:rsidR="00472918" w:rsidRPr="00FD6811">
        <w:t xml:space="preserve">Central State University </w:t>
      </w:r>
      <w:r w:rsidR="00472918">
        <w:t>are the 1890 HBCU lan</w:t>
      </w:r>
      <w:r w:rsidR="001B61D2">
        <w:t>d</w:t>
      </w:r>
      <w:r w:rsidR="00472918">
        <w:t xml:space="preserve">-grant universities; </w:t>
      </w:r>
      <w:r w:rsidRPr="0052754D">
        <w:t>University of Missouri</w:t>
      </w:r>
      <w:r w:rsidR="00472918">
        <w:t xml:space="preserve"> and </w:t>
      </w:r>
      <w:r w:rsidR="00FD6811" w:rsidRPr="00FD6811">
        <w:t xml:space="preserve">Ohio State University </w:t>
      </w:r>
      <w:r w:rsidR="00472918">
        <w:t>are the 1862 non-HBCU land-grants)</w:t>
      </w:r>
      <w:r w:rsidRPr="0052754D">
        <w:t>. The salary gap</w:t>
      </w:r>
      <w:r w:rsidR="00472918">
        <w:t>s</w:t>
      </w:r>
      <w:r w:rsidRPr="0052754D">
        <w:t xml:space="preserve"> </w:t>
      </w:r>
      <w:r w:rsidR="00472918">
        <w:t>are</w:t>
      </w:r>
      <w:r w:rsidRPr="0052754D">
        <w:t xml:space="preserve"> the smallest in North Carolina and Tennessee where faculty teaching at </w:t>
      </w:r>
      <w:r w:rsidR="00472918">
        <w:t>the HBCU land-grant earned 77 and 79 cents to the dollar of faculty teaching at the non-HBCU land-grant, respectively (</w:t>
      </w:r>
      <w:r w:rsidRPr="0052754D">
        <w:t xml:space="preserve">NC Agricultural and Technical State University and Tennessee State University </w:t>
      </w:r>
      <w:r w:rsidR="00472918">
        <w:t xml:space="preserve">are the </w:t>
      </w:r>
      <w:r w:rsidRPr="0052754D">
        <w:t>1890 HBCU land-grant universities</w:t>
      </w:r>
      <w:r w:rsidR="00472918">
        <w:t xml:space="preserve">; </w:t>
      </w:r>
      <w:r w:rsidRPr="0052754D">
        <w:t xml:space="preserve">University of North Carolina and University of Tennessee </w:t>
      </w:r>
      <w:r w:rsidR="00472918">
        <w:t xml:space="preserve">are </w:t>
      </w:r>
      <w:r w:rsidRPr="0052754D">
        <w:t xml:space="preserve">the 1862 </w:t>
      </w:r>
      <w:r w:rsidR="00472918">
        <w:t xml:space="preserve">non-HBCU </w:t>
      </w:r>
      <w:r w:rsidRPr="0052754D">
        <w:t>land-grants).</w:t>
      </w:r>
    </w:p>
    <w:p w14:paraId="02648D36" w14:textId="08DD6938" w:rsidR="00820962" w:rsidRPr="0052754D" w:rsidRDefault="004A06F8" w:rsidP="008D3871">
      <w:r>
        <w:rPr>
          <w:noProof/>
        </w:rPr>
        <w:lastRenderedPageBreak/>
        <w:drawing>
          <wp:inline distT="0" distB="0" distL="0" distR="0" wp14:anchorId="311A2C30" wp14:editId="6D4403C7">
            <wp:extent cx="5943600" cy="2727960"/>
            <wp:effectExtent l="0" t="0" r="0" b="2540"/>
            <wp:docPr id="1632119176" name="Picture 27" descr="A graph of a number of individu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119176" name="Picture 27" descr="A graph of a number of individuals&#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5943600" cy="2727960"/>
                    </a:xfrm>
                    <a:prstGeom prst="rect">
                      <a:avLst/>
                    </a:prstGeom>
                  </pic:spPr>
                </pic:pic>
              </a:graphicData>
            </a:graphic>
          </wp:inline>
        </w:drawing>
      </w:r>
    </w:p>
    <w:p w14:paraId="1ADA5CAC" w14:textId="67940DF3" w:rsidR="00B04190" w:rsidRDefault="00B04190" w:rsidP="00011DB9">
      <w:r w:rsidRPr="0052754D">
        <w:rPr>
          <w:b/>
          <w:bCs/>
        </w:rPr>
        <w:t>Graduate Assistant Earnings</w:t>
      </w:r>
      <w:r w:rsidRPr="0052754D">
        <w:t xml:space="preserve">. Graduate assistants typically earn a stipend for teaching, conducting research, or working in labs. The average stipend paid to graduate assistants in </w:t>
      </w:r>
      <w:r>
        <w:t>2023-24</w:t>
      </w:r>
      <w:r w:rsidRPr="0052754D">
        <w:t xml:space="preserve"> was $</w:t>
      </w:r>
      <w:r>
        <w:t>21,368</w:t>
      </w:r>
      <w:r w:rsidRPr="0052754D">
        <w:t xml:space="preserve"> (Figure 14), assuming the assistant is employed half-time. Also, although not universal, some may also receive tuition and fees waivers; the average tuition and fee waiver was $</w:t>
      </w:r>
      <w:r>
        <w:t>9,943</w:t>
      </w:r>
      <w:r w:rsidRPr="0052754D">
        <w:t xml:space="preserve">. </w:t>
      </w:r>
      <w:r>
        <w:t>Research assistants</w:t>
      </w:r>
      <w:r w:rsidRPr="0052754D">
        <w:t>, on average, receive</w:t>
      </w:r>
      <w:r w:rsidR="00472918">
        <w:t>d</w:t>
      </w:r>
      <w:r w:rsidRPr="0052754D">
        <w:t xml:space="preserve"> the </w:t>
      </w:r>
      <w:r w:rsidR="00472918">
        <w:t>largest</w:t>
      </w:r>
      <w:r w:rsidR="00472918" w:rsidRPr="0052754D">
        <w:t xml:space="preserve"> </w:t>
      </w:r>
      <w:r w:rsidRPr="0052754D">
        <w:t>stipend</w:t>
      </w:r>
      <w:r w:rsidR="00472918">
        <w:t xml:space="preserve">, </w:t>
      </w:r>
      <w:r w:rsidRPr="0052754D">
        <w:t>$2</w:t>
      </w:r>
      <w:r>
        <w:t>2,405</w:t>
      </w:r>
      <w:r w:rsidRPr="0052754D">
        <w:t xml:space="preserve">, while </w:t>
      </w:r>
      <w:r>
        <w:t xml:space="preserve">graduate </w:t>
      </w:r>
      <w:r w:rsidRPr="0052754D">
        <w:t>and teaching assistants earn</w:t>
      </w:r>
      <w:r w:rsidR="00472918">
        <w:t>ed</w:t>
      </w:r>
      <w:r w:rsidRPr="0052754D">
        <w:t xml:space="preserve"> about </w:t>
      </w:r>
      <w:r>
        <w:t>$20,000 each.</w:t>
      </w:r>
    </w:p>
    <w:p w14:paraId="68F81B23" w14:textId="53DC35D7" w:rsidR="00F81CCE" w:rsidRDefault="00820962" w:rsidP="00F81CCE">
      <w:r>
        <w:rPr>
          <w:noProof/>
        </w:rPr>
        <w:drawing>
          <wp:anchor distT="0" distB="0" distL="114300" distR="114300" simplePos="0" relativeHeight="251720192" behindDoc="0" locked="0" layoutInCell="1" allowOverlap="1" wp14:anchorId="1CF21772" wp14:editId="1C6B1A49">
            <wp:simplePos x="0" y="0"/>
            <wp:positionH relativeFrom="column">
              <wp:posOffset>0</wp:posOffset>
            </wp:positionH>
            <wp:positionV relativeFrom="paragraph">
              <wp:posOffset>0</wp:posOffset>
            </wp:positionV>
            <wp:extent cx="3250276" cy="2300195"/>
            <wp:effectExtent l="0" t="0" r="1270" b="0"/>
            <wp:wrapSquare wrapText="bothSides"/>
            <wp:docPr id="1104310497" name="Picture 20"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10497" name="Picture 20" descr="A screenshot of a graph&#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250276" cy="2300195"/>
                    </a:xfrm>
                    <a:prstGeom prst="rect">
                      <a:avLst/>
                    </a:prstGeom>
                  </pic:spPr>
                </pic:pic>
              </a:graphicData>
            </a:graphic>
            <wp14:sizeRelH relativeFrom="page">
              <wp14:pctWidth>0</wp14:pctWidth>
            </wp14:sizeRelH>
            <wp14:sizeRelV relativeFrom="page">
              <wp14:pctHeight>0</wp14:pctHeight>
            </wp14:sizeRelV>
          </wp:anchor>
        </w:drawing>
      </w:r>
      <w:r w:rsidR="00F81CCE" w:rsidRPr="00F81CCE">
        <w:t xml:space="preserve">The average range of stipends paid to graduate assistants in 2023-24 was between $16,000 and $23,000 (Figure 15). The </w:t>
      </w:r>
      <w:r w:rsidR="00472918">
        <w:t xml:space="preserve">largest </w:t>
      </w:r>
      <w:r w:rsidR="00F81CCE" w:rsidRPr="00F81CCE">
        <w:t xml:space="preserve">stipends were awarded to graduate assistants in health and English fields, where the </w:t>
      </w:r>
      <w:r w:rsidR="00472918">
        <w:t xml:space="preserve">largest </w:t>
      </w:r>
      <w:r w:rsidR="00F81CCE" w:rsidRPr="00F81CCE">
        <w:t xml:space="preserve">stipends reached $90,000, followed by agriculture at $85,000 and social sciences at $83,000. </w:t>
      </w:r>
      <w:r w:rsidR="00F81CCE">
        <w:t>T</w:t>
      </w:r>
      <w:r w:rsidR="00F81CCE" w:rsidRPr="00F81CCE">
        <w:t>hese high-end stipends appear to be outliers, as the average stipend within each discipline w</w:t>
      </w:r>
      <w:r w:rsidR="007A5C6F">
        <w:t>as</w:t>
      </w:r>
      <w:r w:rsidR="00F81CCE" w:rsidRPr="00F81CCE">
        <w:t xml:space="preserve"> generally $20,000 or less. The </w:t>
      </w:r>
      <w:r w:rsidR="007A5C6F">
        <w:t xml:space="preserve">smallest </w:t>
      </w:r>
      <w:r w:rsidR="00F81CCE" w:rsidRPr="00F81CCE">
        <w:t>stipends paid in 2023-24 were $2,000</w:t>
      </w:r>
      <w:r w:rsidR="007A5C6F">
        <w:t xml:space="preserve">, and </w:t>
      </w:r>
      <w:r w:rsidR="00F81CCE" w:rsidRPr="00F81CCE">
        <w:t xml:space="preserve">many disciplines </w:t>
      </w:r>
      <w:r w:rsidR="007A5C6F">
        <w:t xml:space="preserve">paid </w:t>
      </w:r>
      <w:r w:rsidR="00F81CCE" w:rsidRPr="00F81CCE">
        <w:t>stipends under $5,000.</w:t>
      </w:r>
    </w:p>
    <w:p w14:paraId="2105E09F" w14:textId="4C4168B4" w:rsidR="00820962" w:rsidRPr="00F81CCE" w:rsidRDefault="00820962" w:rsidP="00F81CCE">
      <w:r>
        <w:rPr>
          <w:noProof/>
        </w:rPr>
        <w:lastRenderedPageBreak/>
        <w:drawing>
          <wp:anchor distT="0" distB="0" distL="114300" distR="114300" simplePos="0" relativeHeight="251721216" behindDoc="0" locked="0" layoutInCell="1" allowOverlap="1" wp14:anchorId="045AA952" wp14:editId="66C740EE">
            <wp:simplePos x="0" y="0"/>
            <wp:positionH relativeFrom="column">
              <wp:posOffset>0</wp:posOffset>
            </wp:positionH>
            <wp:positionV relativeFrom="paragraph">
              <wp:posOffset>0</wp:posOffset>
            </wp:positionV>
            <wp:extent cx="3409025" cy="6384175"/>
            <wp:effectExtent l="0" t="0" r="0" b="4445"/>
            <wp:wrapSquare wrapText="bothSides"/>
            <wp:docPr id="1839805034" name="Picture 21" descr="A chart of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805034" name="Picture 21" descr="A chart of a number of numbers&#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3409025" cy="6384175"/>
                    </a:xfrm>
                    <a:prstGeom prst="rect">
                      <a:avLst/>
                    </a:prstGeom>
                  </pic:spPr>
                </pic:pic>
              </a:graphicData>
            </a:graphic>
            <wp14:sizeRelH relativeFrom="page">
              <wp14:pctWidth>0</wp14:pctWidth>
            </wp14:sizeRelH>
            <wp14:sizeRelV relativeFrom="page">
              <wp14:pctHeight>0</wp14:pctHeight>
            </wp14:sizeRelV>
          </wp:anchor>
        </w:drawing>
      </w:r>
    </w:p>
    <w:p w14:paraId="7C14A09C" w14:textId="0CDAA6F0" w:rsidR="00B04190" w:rsidRPr="0052754D" w:rsidRDefault="00B04190" w:rsidP="002F663E">
      <w:pPr>
        <w:pStyle w:val="Heading2"/>
      </w:pPr>
      <w:r w:rsidRPr="0052754D">
        <w:t xml:space="preserve">What </w:t>
      </w:r>
      <w:r w:rsidR="00676BD1">
        <w:t>Lies Ahead for Higher Education</w:t>
      </w:r>
      <w:r w:rsidRPr="0052754D">
        <w:t>?</w:t>
      </w:r>
    </w:p>
    <w:p w14:paraId="50A582F8" w14:textId="4F8A9CC2" w:rsidR="0013253F" w:rsidRPr="0052754D" w:rsidRDefault="007A5C6F" w:rsidP="0013253F">
      <w:r>
        <w:t xml:space="preserve">Faculty salaries in 2023-24 </w:t>
      </w:r>
      <w:r w:rsidR="00676BD1" w:rsidRPr="00676BD1">
        <w:t>show promising signs of recovery from the impact of recent</w:t>
      </w:r>
      <w:r>
        <w:t xml:space="preserve"> years’</w:t>
      </w:r>
      <w:r w:rsidR="00676BD1" w:rsidRPr="00676BD1">
        <w:t xml:space="preserve"> high inflation, </w:t>
      </w:r>
      <w:r>
        <w:t xml:space="preserve">and institutions </w:t>
      </w:r>
      <w:r w:rsidR="00676BD1" w:rsidRPr="00676BD1">
        <w:t xml:space="preserve">appear to be making progress in adjusting salaries accordingly. While </w:t>
      </w:r>
      <w:r w:rsidR="00676BD1">
        <w:t xml:space="preserve">some </w:t>
      </w:r>
      <w:r w:rsidR="00676BD1" w:rsidRPr="00676BD1">
        <w:t>state</w:t>
      </w:r>
      <w:r w:rsidR="00676BD1">
        <w:t>s’</w:t>
      </w:r>
      <w:r w:rsidR="00676BD1" w:rsidRPr="00676BD1">
        <w:t xml:space="preserve"> budgets are </w:t>
      </w:r>
      <w:r>
        <w:t xml:space="preserve">relatively </w:t>
      </w:r>
      <w:r w:rsidR="00676BD1" w:rsidRPr="00676BD1">
        <w:t>stable, some colleges and universities continue to struggle with budget deficits, declining enrollment, consolidations, and reorganizations</w:t>
      </w:r>
      <w:r w:rsidR="00C35683">
        <w:t xml:space="preserve"> – </w:t>
      </w:r>
      <w:r w:rsidR="00676BD1" w:rsidRPr="00676BD1">
        <w:t>challenges that can lead to faculty furloughs and layoffs.</w:t>
      </w:r>
      <w:r w:rsidR="0013253F" w:rsidRPr="0052754D">
        <w:rPr>
          <w:rStyle w:val="EndnoteReference"/>
        </w:rPr>
        <w:endnoteReference w:id="13"/>
      </w:r>
      <w:r w:rsidR="0013253F" w:rsidRPr="0052754D">
        <w:t xml:space="preserve"> </w:t>
      </w:r>
    </w:p>
    <w:p w14:paraId="44AF6F40" w14:textId="206BB105" w:rsidR="0054394C" w:rsidRPr="0054394C" w:rsidRDefault="00676BD1" w:rsidP="002952E7">
      <w:r>
        <w:t>But t</w:t>
      </w:r>
      <w:r w:rsidR="0054394C" w:rsidRPr="0054394C">
        <w:t>he future remains uncertain not only for faculty compensation but also for faculty job security, working conditions, and the nature of their work. Higher education institutions and academia are facing mounting challenges due to the current political climate and sustained attacks on diversity, equity, and inclusion, as well as research conducted on college campuses.</w:t>
      </w:r>
      <w:r w:rsidR="0013253F">
        <w:t xml:space="preserve"> </w:t>
      </w:r>
      <w:proofErr w:type="gramStart"/>
      <w:r w:rsidR="0013253F">
        <w:t>And,</w:t>
      </w:r>
      <w:proofErr w:type="gramEnd"/>
      <w:r w:rsidR="0013253F">
        <w:t xml:space="preserve"> </w:t>
      </w:r>
      <w:r w:rsidR="0013253F" w:rsidRPr="0013253F">
        <w:t>the accreditation system may also be at risk.</w:t>
      </w:r>
      <w:r>
        <w:t xml:space="preserve"> </w:t>
      </w:r>
      <w:r w:rsidR="0054394C" w:rsidRPr="0054394C">
        <w:t xml:space="preserve">The administration </w:t>
      </w:r>
      <w:r>
        <w:t xml:space="preserve">has </w:t>
      </w:r>
      <w:r w:rsidR="0054394C" w:rsidRPr="0054394C">
        <w:t xml:space="preserve">canceled U.S. Department of Education contracts that fund higher education institutions </w:t>
      </w:r>
      <w:r w:rsidR="00EB5624">
        <w:t xml:space="preserve">and research </w:t>
      </w:r>
      <w:r w:rsidR="0054394C" w:rsidRPr="0054394C">
        <w:t>and is threatening to dismantle the agency entirely</w:t>
      </w:r>
      <w:r w:rsidR="007A5C6F">
        <w:t xml:space="preserve">, </w:t>
      </w:r>
      <w:r w:rsidR="0054394C" w:rsidRPr="0054394C">
        <w:t xml:space="preserve">a move with far-reaching consequences for both students and educators. The U.S. Department of Education also provides the national datasets used in this report to track student and institutional progress, but the future of these data </w:t>
      </w:r>
      <w:r w:rsidR="007A5C6F">
        <w:t xml:space="preserve">is </w:t>
      </w:r>
      <w:r w:rsidR="0054394C" w:rsidRPr="0054394C">
        <w:t xml:space="preserve">uncertain. </w:t>
      </w:r>
    </w:p>
    <w:p w14:paraId="0244E4DA" w14:textId="5E72C5AF" w:rsidR="00676BD1" w:rsidRPr="00676BD1" w:rsidRDefault="00676BD1" w:rsidP="00676BD1">
      <w:r w:rsidRPr="00676BD1">
        <w:t>Beyond political and financial pressures, technological advancements are reshaping faculty work. Artificial intelligence (AI) is emerging as a tool for both students and faculty, but questions remain about its most effective and ethical use. Additionally, shifting demands for programs and content may drive significant curriculum changes, altering course offerings and necessitating adjustments in faculty composition.</w:t>
      </w:r>
      <w:r w:rsidRPr="0052754D">
        <w:rPr>
          <w:rStyle w:val="EndnoteReference"/>
        </w:rPr>
        <w:endnoteReference w:id="14"/>
      </w:r>
    </w:p>
    <w:p w14:paraId="280C42DB" w14:textId="7416C59B" w:rsidR="00676BD1" w:rsidRPr="00676BD1" w:rsidRDefault="00676BD1" w:rsidP="00676BD1">
      <w:r w:rsidRPr="00676BD1">
        <w:t xml:space="preserve">What does all of this mean for faculty salaries in 2025? </w:t>
      </w:r>
      <w:r w:rsidR="00EB5624">
        <w:t xml:space="preserve">Will </w:t>
      </w:r>
      <w:r w:rsidRPr="00676BD1">
        <w:t xml:space="preserve">faculty see the same salary increases in the 2024-25 academic year that helped restore purchasing power in 2023-24? How many faculty will be </w:t>
      </w:r>
      <w:r w:rsidRPr="00676BD1">
        <w:lastRenderedPageBreak/>
        <w:t xml:space="preserve">affected by consolidations, restructuring, and evolving program offerings? How will the political and technological landscape reshape faculty work? </w:t>
      </w:r>
      <w:r w:rsidR="00A449BB" w:rsidRPr="00A449BB">
        <w:t>And, although inflation has slowed over the past year, will it remain low despite the administration’s actions, allowing faculty earnings to catch up?</w:t>
      </w:r>
    </w:p>
    <w:p w14:paraId="1A5FC2EE" w14:textId="0C757C1A" w:rsidR="00C574D3" w:rsidRPr="0052754D" w:rsidRDefault="001E49B1" w:rsidP="00011DB9">
      <w:pPr>
        <w:pBdr>
          <w:bottom w:val="dotted" w:sz="24" w:space="1" w:color="auto"/>
        </w:pBdr>
      </w:pPr>
      <w:r w:rsidRPr="0052754D">
        <w:rPr>
          <w:noProof/>
        </w:rPr>
        <mc:AlternateContent>
          <mc:Choice Requires="wps">
            <w:drawing>
              <wp:anchor distT="91440" distB="91440" distL="114300" distR="114300" simplePos="0" relativeHeight="251698688" behindDoc="0" locked="0" layoutInCell="1" allowOverlap="1" wp14:anchorId="1226B482" wp14:editId="236BEA54">
                <wp:simplePos x="0" y="0"/>
                <wp:positionH relativeFrom="page">
                  <wp:posOffset>894080</wp:posOffset>
                </wp:positionH>
                <wp:positionV relativeFrom="paragraph">
                  <wp:posOffset>273050</wp:posOffset>
                </wp:positionV>
                <wp:extent cx="6172200" cy="1403985"/>
                <wp:effectExtent l="0" t="0" r="0" b="0"/>
                <wp:wrapTopAndBottom/>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403985"/>
                        </a:xfrm>
                        <a:prstGeom prst="rect">
                          <a:avLst/>
                        </a:prstGeom>
                        <a:noFill/>
                        <a:ln w="9525">
                          <a:noFill/>
                          <a:miter lim="800000"/>
                          <a:headEnd/>
                          <a:tailEnd/>
                        </a:ln>
                      </wps:spPr>
                      <wps:txbx>
                        <w:txbxContent>
                          <w:p w14:paraId="4BD6D0B5" w14:textId="502263D6" w:rsidR="001E49B1" w:rsidRPr="00030A9E" w:rsidRDefault="001E49B1" w:rsidP="001E49B1">
                            <w:pPr>
                              <w:pBdr>
                                <w:top w:val="single" w:sz="24" w:space="8" w:color="4472C4" w:themeColor="accent1"/>
                                <w:bottom w:val="single" w:sz="24" w:space="8" w:color="4472C4" w:themeColor="accent1"/>
                              </w:pBdr>
                              <w:spacing w:after="0"/>
                              <w:rPr>
                                <w:i/>
                                <w:iCs/>
                                <w:color w:val="4472C4" w:themeColor="accent1"/>
                                <w:sz w:val="20"/>
                                <w:szCs w:val="20"/>
                              </w:rPr>
                            </w:pPr>
                            <w:r w:rsidRPr="00030A9E">
                              <w:rPr>
                                <w:i/>
                                <w:iCs/>
                                <w:color w:val="4472C4" w:themeColor="accent1"/>
                                <w:sz w:val="20"/>
                                <w:szCs w:val="20"/>
                              </w:rPr>
                              <w:t>DATA SOURCES</w:t>
                            </w:r>
                          </w:p>
                          <w:p w14:paraId="1E9AB1A8" w14:textId="28A7AEE4" w:rsidR="00E03976" w:rsidRPr="00E03976" w:rsidRDefault="00E03976" w:rsidP="00E03976">
                            <w:pPr>
                              <w:pBdr>
                                <w:top w:val="single" w:sz="24" w:space="8" w:color="4472C4" w:themeColor="accent1"/>
                                <w:bottom w:val="single" w:sz="24" w:space="8" w:color="4472C4" w:themeColor="accent1"/>
                              </w:pBdr>
                              <w:spacing w:after="120"/>
                              <w:rPr>
                                <w:i/>
                                <w:iCs/>
                                <w:color w:val="4472C4" w:themeColor="accent1"/>
                                <w:sz w:val="20"/>
                                <w:szCs w:val="20"/>
                              </w:rPr>
                            </w:pPr>
                            <w:r w:rsidRPr="00E03976">
                              <w:rPr>
                                <w:i/>
                                <w:iCs/>
                                <w:color w:val="4472C4" w:themeColor="accent1"/>
                                <w:sz w:val="20"/>
                                <w:szCs w:val="20"/>
                              </w:rPr>
                              <w:t xml:space="preserve">This report relies largely on U.S. Department of Education, National Center for Education Statistics (NCES), Integrated Postsecondary Education Data System (IPEDS) Human Resources data. Reflecting 2023-24, NCES gathered data from 3,818 degree-granting colleges and universities as part of the annual IPEDS data collection for higher education institutions. This analysis excluded 876 seminaries, religious training institutions, and for-profit colleges, leaving 2,942 institutions. At the time of analysis, these data include the provisional release of the IPEDS data and results may differ from data reported by NCES in the future. </w:t>
                            </w:r>
                          </w:p>
                          <w:p w14:paraId="65F65B59" w14:textId="77777777" w:rsidR="00E03976" w:rsidRPr="00E03976" w:rsidRDefault="00E03976" w:rsidP="00E03976">
                            <w:pPr>
                              <w:pBdr>
                                <w:top w:val="single" w:sz="24" w:space="8" w:color="4472C4" w:themeColor="accent1"/>
                                <w:bottom w:val="single" w:sz="24" w:space="8" w:color="4472C4" w:themeColor="accent1"/>
                              </w:pBdr>
                              <w:spacing w:after="120"/>
                              <w:rPr>
                                <w:i/>
                                <w:iCs/>
                                <w:color w:val="4472C4" w:themeColor="accent1"/>
                                <w:sz w:val="20"/>
                                <w:szCs w:val="20"/>
                              </w:rPr>
                            </w:pPr>
                            <w:r w:rsidRPr="00E03976">
                              <w:rPr>
                                <w:i/>
                                <w:iCs/>
                                <w:color w:val="4472C4" w:themeColor="accent1"/>
                                <w:sz w:val="20"/>
                                <w:szCs w:val="20"/>
                              </w:rPr>
                              <w:t xml:space="preserve">This report also includes U.S. Bureau of Labor Statistics wage estimates for faculty teaching in less-than-4-year and 4-year institutions by discipline in May 2023. Wage estimates are computed with data collected from a statistical sample of institutions of all sizes, in every state and the District of Columbia. </w:t>
                            </w:r>
                          </w:p>
                          <w:p w14:paraId="5E8D3498" w14:textId="17A12BB4" w:rsidR="001E49B1" w:rsidRPr="00030A9E" w:rsidRDefault="00E03976" w:rsidP="00E03976">
                            <w:pPr>
                              <w:pBdr>
                                <w:top w:val="single" w:sz="24" w:space="8" w:color="4472C4" w:themeColor="accent1"/>
                                <w:bottom w:val="single" w:sz="24" w:space="8" w:color="4472C4" w:themeColor="accent1"/>
                              </w:pBdr>
                              <w:spacing w:after="120"/>
                              <w:rPr>
                                <w:i/>
                                <w:iCs/>
                                <w:color w:val="4472C4" w:themeColor="accent1"/>
                                <w:sz w:val="20"/>
                                <w:szCs w:val="18"/>
                              </w:rPr>
                            </w:pPr>
                            <w:r w:rsidRPr="00E03976">
                              <w:rPr>
                                <w:i/>
                                <w:iCs/>
                                <w:color w:val="4472C4" w:themeColor="accent1"/>
                                <w:sz w:val="20"/>
                                <w:szCs w:val="20"/>
                              </w:rPr>
                              <w:t>An analysis of the Oklahoma State University’s Graduate Assistant Stipend Survey data for 2023-24 is also included; this survey includes 57 land-grant institutions and 77,706 graduate assistants.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w:pict>
              <v:shapetype w14:anchorId="1226B482" id="_x0000_t202" coordsize="21600,21600" o:spt="202" path="m,l,21600r21600,l21600,xe">
                <v:stroke joinstyle="miter"/>
                <v:path gradientshapeok="t" o:connecttype="rect"/>
              </v:shapetype>
              <v:shape id="_x0000_s1028" type="#_x0000_t202" style="position:absolute;margin-left:70.4pt;margin-top:21.5pt;width:486pt;height:110.55pt;z-index:25169868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" filled="f" stroked="f">
                <v:textbox style="mso-fit-shape-to-text:t">
                  <w:txbxContent>
                    <w:p w14:paraId="4BD6D0B5" w14:textId="502263D6" w:rsidR="001E49B1" w:rsidRPr="00030A9E" w:rsidRDefault="001E49B1" w:rsidP="001E49B1">
                      <w:pPr>
                        <w:pBdr>
                          <w:top w:val="single" w:sz="24" w:space="8" w:color="4472C4" w:themeColor="accent1"/>
                          <w:bottom w:val="single" w:sz="24" w:space="8" w:color="4472C4" w:themeColor="accent1"/>
                        </w:pBdr>
                        <w:spacing w:after="0"/>
                        <w:rPr>
                          <w:i/>
                          <w:iCs/>
                          <w:color w:val="4472C4" w:themeColor="accent1"/>
                          <w:sz w:val="20"/>
                          <w:szCs w:val="20"/>
                        </w:rPr>
                      </w:pPr>
                      <w:r w:rsidRPr="00030A9E">
                        <w:rPr>
                          <w:i/>
                          <w:iCs/>
                          <w:color w:val="4472C4" w:themeColor="accent1"/>
                          <w:sz w:val="20"/>
                          <w:szCs w:val="20"/>
                        </w:rPr>
                        <w:t>DATA SOURCES</w:t>
                      </w:r>
                    </w:p>
                    <w:p w14:paraId="1E9AB1A8" w14:textId="28A7AEE4" w:rsidR="00E03976" w:rsidRPr="00E03976" w:rsidRDefault="00E03976" w:rsidP="00E03976">
                      <w:pPr>
                        <w:pBdr>
                          <w:top w:val="single" w:sz="24" w:space="8" w:color="4472C4" w:themeColor="accent1"/>
                          <w:bottom w:val="single" w:sz="24" w:space="8" w:color="4472C4" w:themeColor="accent1"/>
                        </w:pBdr>
                        <w:spacing w:after="120"/>
                        <w:rPr>
                          <w:i/>
                          <w:iCs/>
                          <w:color w:val="4472C4" w:themeColor="accent1"/>
                          <w:sz w:val="20"/>
                          <w:szCs w:val="20"/>
                        </w:rPr>
                      </w:pPr>
                      <w:r w:rsidRPr="00E03976">
                        <w:rPr>
                          <w:i/>
                          <w:iCs/>
                          <w:color w:val="4472C4" w:themeColor="accent1"/>
                          <w:sz w:val="20"/>
                          <w:szCs w:val="20"/>
                        </w:rPr>
                        <w:t xml:space="preserve">This report relies largely on U.S. Department of Education, National Center for Education Statistics (NCES), Integrated Postsecondary Education Data System (IPEDS) Human Resources data. Reflecting 2023-24, NCES gathered data from 3,818 degree-granting colleges and universities as part of the annual IPEDS data collection for higher education institutions. This analysis excluded 876 seminaries, religious training institutions, and for-profit colleges, leaving 2,942 institutions. At the time of analysis, these data include the provisional release of the IPEDS data and results may differ from data reported by NCES in the future. </w:t>
                      </w:r>
                    </w:p>
                    <w:p w14:paraId="65F65B59" w14:textId="77777777" w:rsidR="00E03976" w:rsidRPr="00E03976" w:rsidRDefault="00E03976" w:rsidP="00E03976">
                      <w:pPr>
                        <w:pBdr>
                          <w:top w:val="single" w:sz="24" w:space="8" w:color="4472C4" w:themeColor="accent1"/>
                          <w:bottom w:val="single" w:sz="24" w:space="8" w:color="4472C4" w:themeColor="accent1"/>
                        </w:pBdr>
                        <w:spacing w:after="120"/>
                        <w:rPr>
                          <w:i/>
                          <w:iCs/>
                          <w:color w:val="4472C4" w:themeColor="accent1"/>
                          <w:sz w:val="20"/>
                          <w:szCs w:val="20"/>
                        </w:rPr>
                      </w:pPr>
                      <w:r w:rsidRPr="00E03976">
                        <w:rPr>
                          <w:i/>
                          <w:iCs/>
                          <w:color w:val="4472C4" w:themeColor="accent1"/>
                          <w:sz w:val="20"/>
                          <w:szCs w:val="20"/>
                        </w:rPr>
                        <w:t xml:space="preserve">This report also includes U.S. Bureau of Labor Statistics wage estimates for faculty teaching in less-than-4-year and 4-year institutions by discipline in May 2023. Wage estimates are computed with data collected from a statistical sample of institutions of all sizes, in every state and the District of Columbia. </w:t>
                      </w:r>
                    </w:p>
                    <w:p w14:paraId="5E8D3498" w14:textId="17A12BB4" w:rsidR="001E49B1" w:rsidRPr="00030A9E" w:rsidRDefault="00E03976" w:rsidP="00E03976">
                      <w:pPr>
                        <w:pBdr>
                          <w:top w:val="single" w:sz="24" w:space="8" w:color="4472C4" w:themeColor="accent1"/>
                          <w:bottom w:val="single" w:sz="24" w:space="8" w:color="4472C4" w:themeColor="accent1"/>
                        </w:pBdr>
                        <w:spacing w:after="120"/>
                        <w:rPr>
                          <w:i/>
                          <w:iCs/>
                          <w:color w:val="4472C4" w:themeColor="accent1"/>
                          <w:sz w:val="20"/>
                          <w:szCs w:val="18"/>
                        </w:rPr>
                      </w:pPr>
                      <w:r w:rsidRPr="00E03976">
                        <w:rPr>
                          <w:i/>
                          <w:iCs/>
                          <w:color w:val="4472C4" w:themeColor="accent1"/>
                          <w:sz w:val="20"/>
                          <w:szCs w:val="20"/>
                        </w:rPr>
                        <w:t>An analysis of the Oklahoma State University’s Graduate Assistant Stipend Survey data for 2023-24 is also included; this survey includes 57 land-grant institutions and 77,706 graduate assistants.</w:t>
                      </w:r>
                    </w:p>
                  </w:txbxContent>
                </v:textbox>
                <w10:wrap type="topAndBottom" anchorx="page"/>
              </v:shape>
            </w:pict>
          </mc:Fallback>
        </mc:AlternateContent>
      </w:r>
    </w:p>
    <w:p w14:paraId="494F23EA" w14:textId="77777777" w:rsidR="001E49B1" w:rsidRPr="0052754D" w:rsidRDefault="001E49B1" w:rsidP="00011DB9">
      <w:pPr>
        <w:pBdr>
          <w:bottom w:val="dotted" w:sz="24" w:space="1" w:color="auto"/>
        </w:pBdr>
      </w:pPr>
    </w:p>
    <w:p w14:paraId="0A1899DD" w14:textId="77777777" w:rsidR="001E49B1" w:rsidRPr="0052754D" w:rsidRDefault="001E49B1" w:rsidP="00011DB9">
      <w:pPr>
        <w:pBdr>
          <w:bottom w:val="dotted" w:sz="24" w:space="1" w:color="auto"/>
        </w:pBdr>
      </w:pPr>
    </w:p>
    <w:p w14:paraId="1C910551" w14:textId="6EABD964" w:rsidR="00365117" w:rsidRPr="0052754D" w:rsidRDefault="00D918BB" w:rsidP="00011DB9">
      <w:pPr>
        <w:rPr>
          <w:b/>
          <w:bCs/>
        </w:rPr>
      </w:pPr>
      <w:r w:rsidRPr="0052754D">
        <w:rPr>
          <w:b/>
          <w:bCs/>
        </w:rPr>
        <w:t>R</w:t>
      </w:r>
      <w:r w:rsidR="00365117" w:rsidRPr="0052754D">
        <w:rPr>
          <w:b/>
          <w:bCs/>
        </w:rPr>
        <w:t>eferences for text box in HBCU section</w:t>
      </w:r>
      <w:r w:rsidRPr="0052754D">
        <w:rPr>
          <w:b/>
          <w:bCs/>
        </w:rPr>
        <w:t>:</w:t>
      </w:r>
    </w:p>
    <w:p w14:paraId="5E2AC355" w14:textId="339851FD" w:rsidR="000973E2" w:rsidRPr="0052754D" w:rsidRDefault="000973E2" w:rsidP="000973E2">
      <w:pPr>
        <w:pStyle w:val="EndnoteText"/>
      </w:pPr>
      <w:r w:rsidRPr="0052754D">
        <w:rPr>
          <w:rStyle w:val="EndnoteReference"/>
        </w:rPr>
        <w:t>1</w:t>
      </w:r>
      <w:r w:rsidRPr="0052754D">
        <w:t xml:space="preserve"> --. (ND). </w:t>
      </w:r>
      <w:r w:rsidRPr="0052754D">
        <w:rPr>
          <w:i/>
          <w:iCs/>
        </w:rPr>
        <w:t>Why choose an HBCU?</w:t>
      </w:r>
      <w:r w:rsidRPr="0052754D">
        <w:t xml:space="preserve"> HBCU First. Available: https://hbcufirst.com/resources/why-choose-an-hbcu.</w:t>
      </w:r>
    </w:p>
    <w:p w14:paraId="1F63DFFD" w14:textId="2292800F" w:rsidR="00365117" w:rsidRPr="0052754D" w:rsidRDefault="000973E2" w:rsidP="00365117">
      <w:pPr>
        <w:pStyle w:val="EndnoteText"/>
      </w:pPr>
      <w:r w:rsidRPr="0052754D">
        <w:rPr>
          <w:vertAlign w:val="superscript"/>
        </w:rPr>
        <w:t>2</w:t>
      </w:r>
      <w:r w:rsidRPr="0052754D">
        <w:t xml:space="preserve"> Ibid.</w:t>
      </w:r>
      <w:r w:rsidR="005D2783" w:rsidRPr="0052754D">
        <w:t xml:space="preserve"> </w:t>
      </w:r>
    </w:p>
    <w:p w14:paraId="5594A7CE" w14:textId="630F6049" w:rsidR="00365117" w:rsidRPr="00A86917" w:rsidRDefault="005D2783" w:rsidP="005608B0">
      <w:pPr>
        <w:pStyle w:val="EndnoteText"/>
        <w:rPr>
          <w:lang w:val="fr-FR"/>
        </w:rPr>
      </w:pPr>
      <w:r w:rsidRPr="0052754D">
        <w:rPr>
          <w:rStyle w:val="EndnoteReference"/>
        </w:rPr>
        <w:t>3</w:t>
      </w:r>
      <w:r w:rsidR="00365117" w:rsidRPr="0052754D">
        <w:t xml:space="preserve"> </w:t>
      </w:r>
      <w:r w:rsidR="005608B0" w:rsidRPr="0052754D">
        <w:t xml:space="preserve">UNCF. </w:t>
      </w:r>
      <w:r w:rsidR="00C35623" w:rsidRPr="0052754D">
        <w:t xml:space="preserve">(ND). </w:t>
      </w:r>
      <w:r w:rsidR="00C35623" w:rsidRPr="0052754D">
        <w:rPr>
          <w:i/>
          <w:iCs/>
        </w:rPr>
        <w:t>Fact sheet: Investing in better futures for students and for all of us</w:t>
      </w:r>
      <w:r w:rsidR="00C35623" w:rsidRPr="0052754D">
        <w:t xml:space="preserve">. </w:t>
      </w:r>
      <w:proofErr w:type="spellStart"/>
      <w:proofErr w:type="gramStart"/>
      <w:r w:rsidR="00C35623" w:rsidRPr="00A86917">
        <w:rPr>
          <w:lang w:val="fr-FR"/>
        </w:rPr>
        <w:t>Available</w:t>
      </w:r>
      <w:proofErr w:type="spellEnd"/>
      <w:r w:rsidR="00C35623" w:rsidRPr="00A86917">
        <w:rPr>
          <w:lang w:val="fr-FR"/>
        </w:rPr>
        <w:t>:</w:t>
      </w:r>
      <w:proofErr w:type="gramEnd"/>
      <w:r w:rsidR="00B32F0B" w:rsidRPr="00A86917">
        <w:rPr>
          <w:lang w:val="fr-FR"/>
        </w:rPr>
        <w:t xml:space="preserve"> </w:t>
      </w:r>
      <w:r w:rsidR="00365117" w:rsidRPr="00A86917">
        <w:rPr>
          <w:lang w:val="fr-FR"/>
        </w:rPr>
        <w:t>https://cdn.uncf.org/wp-content/uploads/2022-UNCF-Fact-Sheet8.pdf</w:t>
      </w:r>
    </w:p>
    <w:p w14:paraId="5FCE65C2" w14:textId="7FC8B219" w:rsidR="00365117" w:rsidRPr="0052754D" w:rsidRDefault="00C35623" w:rsidP="00365117">
      <w:pPr>
        <w:rPr>
          <w:b/>
          <w:bCs/>
          <w:sz w:val="20"/>
          <w:szCs w:val="20"/>
        </w:rPr>
      </w:pPr>
      <w:r w:rsidRPr="0052754D">
        <w:rPr>
          <w:rStyle w:val="EndnoteReference"/>
          <w:sz w:val="20"/>
          <w:szCs w:val="20"/>
        </w:rPr>
        <w:t>4</w:t>
      </w:r>
      <w:r w:rsidR="00365117" w:rsidRPr="0052754D">
        <w:rPr>
          <w:sz w:val="20"/>
          <w:szCs w:val="20"/>
        </w:rPr>
        <w:t xml:space="preserve"> </w:t>
      </w:r>
      <w:r w:rsidR="00287258" w:rsidRPr="0052754D">
        <w:rPr>
          <w:sz w:val="20"/>
          <w:szCs w:val="20"/>
        </w:rPr>
        <w:t>Broady, K., Perry,</w:t>
      </w:r>
      <w:r w:rsidR="00F71D6D" w:rsidRPr="0052754D">
        <w:rPr>
          <w:sz w:val="20"/>
          <w:szCs w:val="20"/>
        </w:rPr>
        <w:t xml:space="preserve"> A. M., </w:t>
      </w:r>
      <w:r w:rsidR="00287258" w:rsidRPr="0052754D">
        <w:rPr>
          <w:sz w:val="20"/>
          <w:szCs w:val="20"/>
        </w:rPr>
        <w:t>Romer</w:t>
      </w:r>
      <w:r w:rsidR="00F71D6D" w:rsidRPr="0052754D">
        <w:rPr>
          <w:sz w:val="20"/>
          <w:szCs w:val="20"/>
        </w:rPr>
        <w:t xml:space="preserve"> C. (</w:t>
      </w:r>
      <w:r w:rsidR="00287258" w:rsidRPr="0052754D">
        <w:rPr>
          <w:sz w:val="20"/>
          <w:szCs w:val="20"/>
        </w:rPr>
        <w:t>August 4, 2021</w:t>
      </w:r>
      <w:r w:rsidR="00F71D6D" w:rsidRPr="0052754D">
        <w:rPr>
          <w:sz w:val="20"/>
          <w:szCs w:val="20"/>
        </w:rPr>
        <w:t xml:space="preserve">). “Underfunding HBCUs leads to an underrepresentation of Black faculty,” </w:t>
      </w:r>
      <w:r w:rsidR="00F71D6D" w:rsidRPr="0052754D">
        <w:rPr>
          <w:i/>
          <w:iCs/>
          <w:sz w:val="20"/>
          <w:szCs w:val="20"/>
        </w:rPr>
        <w:t>The Avenue</w:t>
      </w:r>
      <w:r w:rsidR="00F71D6D" w:rsidRPr="0052754D">
        <w:rPr>
          <w:sz w:val="20"/>
          <w:szCs w:val="20"/>
        </w:rPr>
        <w:t xml:space="preserve">. Brookings. Available: </w:t>
      </w:r>
      <w:r w:rsidR="00365117" w:rsidRPr="0052754D">
        <w:rPr>
          <w:sz w:val="20"/>
          <w:szCs w:val="20"/>
        </w:rPr>
        <w:t>https://www.brookings.edu/blog/the-avenue/2021/08/04/underfunding-hbcus-leads-to-an-</w:t>
      </w:r>
    </w:p>
    <w:p w14:paraId="6AF47419" w14:textId="77777777" w:rsidR="00305F67" w:rsidRPr="0052754D" w:rsidRDefault="00305F67" w:rsidP="00011DB9">
      <w:pPr>
        <w:rPr>
          <w:sz w:val="20"/>
          <w:szCs w:val="20"/>
        </w:rPr>
      </w:pPr>
    </w:p>
    <w:p w14:paraId="7AE38645" w14:textId="4BC54BA9" w:rsidR="00EC22C0" w:rsidRPr="0052754D" w:rsidRDefault="00D918BB" w:rsidP="00011DB9">
      <w:pPr>
        <w:rPr>
          <w:b/>
          <w:bCs/>
          <w:sz w:val="20"/>
          <w:szCs w:val="20"/>
        </w:rPr>
      </w:pPr>
      <w:r w:rsidRPr="0052754D">
        <w:rPr>
          <w:b/>
          <w:bCs/>
          <w:sz w:val="20"/>
          <w:szCs w:val="20"/>
        </w:rPr>
        <w:t>Reference for land grant text box:</w:t>
      </w:r>
    </w:p>
    <w:p w14:paraId="4B17FE3A" w14:textId="55386721" w:rsidR="00D918BB" w:rsidRPr="00A86917" w:rsidRDefault="00D918BB" w:rsidP="00D918BB">
      <w:pPr>
        <w:pStyle w:val="EndnoteText"/>
        <w:rPr>
          <w:lang w:val="fr-FR"/>
        </w:rPr>
      </w:pPr>
      <w:r w:rsidRPr="0052754D">
        <w:rPr>
          <w:rStyle w:val="EndnoteReference"/>
        </w:rPr>
        <w:footnoteRef/>
      </w:r>
      <w:r w:rsidRPr="0052754D">
        <w:t xml:space="preserve"> National Education Association. “A Looming Crisis for HBCUs? An Analysis of Funding Sources for Land Grant Universities,” </w:t>
      </w:r>
      <w:r w:rsidRPr="0052754D">
        <w:rPr>
          <w:i/>
          <w:iCs/>
        </w:rPr>
        <w:t>NEA Research Land Grant University:</w:t>
      </w:r>
      <w:r w:rsidRPr="0052754D">
        <w:t xml:space="preserve"> </w:t>
      </w:r>
      <w:r w:rsidRPr="0052754D">
        <w:rPr>
          <w:i/>
          <w:iCs/>
        </w:rPr>
        <w:t>Brief No. 2</w:t>
      </w:r>
      <w:r w:rsidRPr="0052754D">
        <w:t xml:space="preserve">. </w:t>
      </w:r>
      <w:proofErr w:type="spellStart"/>
      <w:proofErr w:type="gramStart"/>
      <w:r w:rsidRPr="00A86917">
        <w:rPr>
          <w:lang w:val="fr-FR"/>
        </w:rPr>
        <w:t>Available</w:t>
      </w:r>
      <w:proofErr w:type="spellEnd"/>
      <w:r w:rsidRPr="00A86917">
        <w:rPr>
          <w:lang w:val="fr-FR"/>
        </w:rPr>
        <w:t>:</w:t>
      </w:r>
      <w:proofErr w:type="gramEnd"/>
      <w:r w:rsidRPr="00A86917">
        <w:rPr>
          <w:lang w:val="fr-FR"/>
        </w:rPr>
        <w:t xml:space="preserve"> </w:t>
      </w:r>
      <w:r w:rsidR="000973E2" w:rsidRPr="00A86917">
        <w:rPr>
          <w:lang w:val="fr-FR"/>
        </w:rPr>
        <w:t>https://www.nea.org/resource-library/looming-crisis-hbcus.</w:t>
      </w:r>
    </w:p>
    <w:p w14:paraId="07D9AAB4" w14:textId="77777777" w:rsidR="00EC22C0" w:rsidRPr="00A86917" w:rsidRDefault="00EC22C0" w:rsidP="00EC22C0">
      <w:pPr>
        <w:rPr>
          <w:sz w:val="20"/>
          <w:szCs w:val="20"/>
          <w:lang w:val="fr-FR"/>
        </w:rPr>
      </w:pPr>
    </w:p>
    <w:sectPr w:rsidR="00EC22C0" w:rsidRPr="00A86917">
      <w:footerReference w:type="default" r:id="rId27"/>
      <w:footnotePr>
        <w:numFmt w:val="lowerRoman"/>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F8D5ED" w14:textId="77777777" w:rsidR="000670D6" w:rsidRDefault="000670D6" w:rsidP="003450A2">
      <w:pPr>
        <w:spacing w:after="0" w:line="240" w:lineRule="auto"/>
      </w:pPr>
      <w:r>
        <w:separator/>
      </w:r>
    </w:p>
  </w:endnote>
  <w:endnote w:type="continuationSeparator" w:id="0">
    <w:p w14:paraId="73D7B2DE" w14:textId="77777777" w:rsidR="000670D6" w:rsidRDefault="000670D6" w:rsidP="003450A2">
      <w:pPr>
        <w:spacing w:after="0" w:line="240" w:lineRule="auto"/>
      </w:pPr>
      <w:r>
        <w:continuationSeparator/>
      </w:r>
    </w:p>
  </w:endnote>
  <w:endnote w:id="1">
    <w:p w14:paraId="44977F59" w14:textId="77777777" w:rsidR="00764C45" w:rsidRPr="00764C45" w:rsidRDefault="00764C45" w:rsidP="00764C45">
      <w:pPr>
        <w:pStyle w:val="EndnoteText"/>
        <w:rPr>
          <w:lang w:val="fr-FR"/>
        </w:rPr>
      </w:pPr>
      <w:r>
        <w:rPr>
          <w:rStyle w:val="EndnoteReference"/>
        </w:rPr>
        <w:endnoteRef/>
      </w:r>
      <w:r>
        <w:t xml:space="preserve"> Computation based on the 2023-24 academic year (August to July). Consumer price index data from U.S. Bureau of Labor Statistics. </w:t>
      </w:r>
      <w:r w:rsidRPr="00764C45">
        <w:rPr>
          <w:lang w:val="fr-FR"/>
        </w:rPr>
        <w:t>Available: https://www.bls.gov/regions/mid-atlantic/data/consumerpriceindexhistorical_us_table.htm.</w:t>
      </w:r>
    </w:p>
  </w:endnote>
  <w:endnote w:id="2">
    <w:p w14:paraId="07432DBE" w14:textId="46CEDD03" w:rsidR="00B04190" w:rsidRPr="00764C45" w:rsidRDefault="00B04190">
      <w:pPr>
        <w:pStyle w:val="EndnoteText"/>
      </w:pPr>
      <w:r w:rsidRPr="0052754D">
        <w:rPr>
          <w:rStyle w:val="EndnoteReference"/>
        </w:rPr>
        <w:endnoteRef/>
      </w:r>
      <w:r w:rsidRPr="0052754D">
        <w:t xml:space="preserve"> </w:t>
      </w:r>
      <w:r>
        <w:t xml:space="preserve">--. </w:t>
      </w:r>
      <w:r w:rsidRPr="0052754D">
        <w:t>(</w:t>
      </w:r>
      <w:r>
        <w:t>January 7, 2025</w:t>
      </w:r>
      <w:r w:rsidRPr="0052754D">
        <w:t>).</w:t>
      </w:r>
      <w:r w:rsidRPr="00F16A3C">
        <w:t xml:space="preserve"> </w:t>
      </w:r>
      <w:r w:rsidRPr="00F16A3C">
        <w:rPr>
          <w:i/>
          <w:iCs/>
        </w:rPr>
        <w:t>Postsecondary Enrollment Rises in Fall 2023, Marking First Increase in Over a Decade</w:t>
      </w:r>
      <w:r w:rsidRPr="0052754D">
        <w:t xml:space="preserve">. </w:t>
      </w:r>
      <w:r w:rsidRPr="00764C45">
        <w:t>National Center for Education Statistics, U.S. Department of Education. Available: https://nces.ed.gov/whatsnew/press_releases/1_7_2025.asp</w:t>
      </w:r>
      <w:r w:rsidRPr="00764C45" w:rsidDel="00F16A3C">
        <w:t xml:space="preserve"> </w:t>
      </w:r>
    </w:p>
  </w:endnote>
  <w:endnote w:id="3">
    <w:p w14:paraId="59D073E3" w14:textId="77A5F349" w:rsidR="00B04190" w:rsidRDefault="00B04190">
      <w:pPr>
        <w:pStyle w:val="EndnoteText"/>
      </w:pPr>
      <w:r>
        <w:rPr>
          <w:rStyle w:val="EndnoteReference"/>
        </w:rPr>
        <w:endnoteRef/>
      </w:r>
      <w:r>
        <w:t xml:space="preserve"> Based on </w:t>
      </w:r>
      <w:r w:rsidRPr="00B04190">
        <w:t>ASA Research analysis of U.S. Department of Education, Integrated Postsecondary Education Data System, Faculty Salary data, 2023-24.</w:t>
      </w:r>
    </w:p>
  </w:endnote>
  <w:endnote w:id="4">
    <w:p w14:paraId="2AABB3C4" w14:textId="6934040F" w:rsidR="00B04190" w:rsidRPr="0052754D" w:rsidRDefault="00B04190">
      <w:pPr>
        <w:pStyle w:val="EndnoteText"/>
      </w:pPr>
      <w:r w:rsidRPr="0052754D">
        <w:rPr>
          <w:rStyle w:val="EndnoteReference"/>
        </w:rPr>
        <w:endnoteRef/>
      </w:r>
      <w:r w:rsidR="00B76F74">
        <w:t>--</w:t>
      </w:r>
      <w:r w:rsidRPr="0052754D">
        <w:t>. (</w:t>
      </w:r>
      <w:r w:rsidR="0003585E">
        <w:t>September 9, 2024</w:t>
      </w:r>
      <w:r w:rsidRPr="0052754D">
        <w:t xml:space="preserve">). </w:t>
      </w:r>
      <w:r w:rsidR="0003585E" w:rsidRPr="002952E7">
        <w:rPr>
          <w:i/>
          <w:iCs/>
        </w:rPr>
        <w:t>Infographic: US Salary Increase Budgets 2024-2025</w:t>
      </w:r>
      <w:r w:rsidRPr="0052754D">
        <w:t xml:space="preserve">. The Conference Board. Available: </w:t>
      </w:r>
      <w:r w:rsidR="0003585E" w:rsidRPr="0003585E">
        <w:t>https://www.conference-board.org/publications/US-Salary-Increase-chart</w:t>
      </w:r>
      <w:r w:rsidRPr="0052754D">
        <w:t>.</w:t>
      </w:r>
    </w:p>
  </w:endnote>
  <w:endnote w:id="5">
    <w:p w14:paraId="5AC4BBAA" w14:textId="50615D68" w:rsidR="00B76F74" w:rsidRDefault="00B76F74">
      <w:pPr>
        <w:pStyle w:val="EndnoteText"/>
      </w:pPr>
      <w:r>
        <w:rPr>
          <w:rStyle w:val="EndnoteReference"/>
        </w:rPr>
        <w:endnoteRef/>
      </w:r>
      <w:r>
        <w:t xml:space="preserve"> </w:t>
      </w:r>
      <w:r w:rsidRPr="00B76F74">
        <w:t>ASA Research analysis of U.S. Department of Education, Integrated Postsecondary Education Data System, Faculty Salary data, 2019-20 and 2023-24.</w:t>
      </w:r>
    </w:p>
  </w:endnote>
  <w:endnote w:id="6">
    <w:p w14:paraId="299C4C50" w14:textId="2F002A39" w:rsidR="00B04190" w:rsidRPr="00764C45" w:rsidRDefault="00B04190">
      <w:pPr>
        <w:pStyle w:val="EndnoteText"/>
        <w:rPr>
          <w:lang w:val="fr-FR"/>
        </w:rPr>
      </w:pPr>
      <w:r w:rsidRPr="0052754D">
        <w:rPr>
          <w:rStyle w:val="EndnoteReference"/>
        </w:rPr>
        <w:endnoteRef/>
      </w:r>
      <w:r w:rsidR="00074BAF">
        <w:t>--</w:t>
      </w:r>
      <w:r w:rsidRPr="0052754D">
        <w:t>. (March 1</w:t>
      </w:r>
      <w:r w:rsidR="00074BAF">
        <w:t>2</w:t>
      </w:r>
      <w:r w:rsidRPr="0052754D">
        <w:t>, 202</w:t>
      </w:r>
      <w:r w:rsidR="00074BAF">
        <w:t>4</w:t>
      </w:r>
      <w:r w:rsidRPr="0052754D">
        <w:t>).</w:t>
      </w:r>
      <w:r w:rsidR="00074BAF" w:rsidRPr="00074BAF">
        <w:t xml:space="preserve"> </w:t>
      </w:r>
      <w:r w:rsidR="00074BAF" w:rsidRPr="00074BAF">
        <w:rPr>
          <w:i/>
          <w:iCs/>
        </w:rPr>
        <w:t>Women’s earnings were 83.6 percent of men’s in 2023</w:t>
      </w:r>
      <w:r w:rsidRPr="0052754D">
        <w:t xml:space="preserve">. </w:t>
      </w:r>
      <w:r w:rsidR="00074BAF" w:rsidRPr="00074BAF">
        <w:t>Bureau of Labor Statistics, U.S. Department of Labor, The Economics Daily</w:t>
      </w:r>
      <w:r w:rsidRPr="0052754D">
        <w:t xml:space="preserve">. </w:t>
      </w:r>
      <w:r w:rsidRPr="00764C45">
        <w:rPr>
          <w:lang w:val="fr-FR"/>
        </w:rPr>
        <w:t xml:space="preserve">Available: </w:t>
      </w:r>
      <w:r w:rsidR="00074BAF" w:rsidRPr="00764C45">
        <w:rPr>
          <w:lang w:val="fr-FR"/>
        </w:rPr>
        <w:t>https://www.bls.gov/opub/ted/2024/womens-earnings-were-83-6-percent-of-mens-in-2023.htm</w:t>
      </w:r>
      <w:r w:rsidRPr="00764C45">
        <w:rPr>
          <w:lang w:val="fr-FR"/>
        </w:rPr>
        <w:t>.</w:t>
      </w:r>
    </w:p>
  </w:endnote>
  <w:endnote w:id="7">
    <w:p w14:paraId="438F5980" w14:textId="7455E580" w:rsidR="00B04190" w:rsidRPr="0052754D" w:rsidRDefault="00B04190">
      <w:pPr>
        <w:pStyle w:val="EndnoteText"/>
      </w:pPr>
      <w:r w:rsidRPr="0052754D">
        <w:rPr>
          <w:rStyle w:val="EndnoteReference"/>
        </w:rPr>
        <w:endnoteRef/>
      </w:r>
      <w:r w:rsidRPr="0052754D">
        <w:t xml:space="preserve"> --. (August 28, 2023). </w:t>
      </w:r>
      <w:r w:rsidRPr="0052754D">
        <w:rPr>
          <w:i/>
          <w:iCs/>
        </w:rPr>
        <w:t>Fact sheet: Treasury Department releases first-of-its-kind report on benefits of unions to the U.S. economy</w:t>
      </w:r>
      <w:r w:rsidRPr="0052754D">
        <w:t xml:space="preserve">. U.S. Department of the Treasury. Available: https://home.treasury.gov/news/press-releases/jy1706#:~:text=Unions%20raise%20the%20wages%20of,stability%20and%20worker%20well%2Dbeing. </w:t>
      </w:r>
    </w:p>
  </w:endnote>
  <w:endnote w:id="8">
    <w:p w14:paraId="3B7469D9" w14:textId="2F3EDB7F" w:rsidR="00B04190" w:rsidRPr="00A86917" w:rsidRDefault="00B04190" w:rsidP="00626AEC">
      <w:pPr>
        <w:pStyle w:val="EndnoteText"/>
        <w:rPr>
          <w:lang w:val="fr-FR"/>
        </w:rPr>
      </w:pPr>
      <w:r w:rsidRPr="0052754D">
        <w:rPr>
          <w:rStyle w:val="EndnoteReference"/>
        </w:rPr>
        <w:endnoteRef/>
      </w:r>
      <w:r w:rsidRPr="0052754D">
        <w:t xml:space="preserve"> --. (August 2023). </w:t>
      </w:r>
      <w:r w:rsidRPr="0052754D">
        <w:rPr>
          <w:i/>
          <w:iCs/>
        </w:rPr>
        <w:t>Labor unions and the middle class</w:t>
      </w:r>
      <w:r w:rsidRPr="0052754D">
        <w:t xml:space="preserve">. U.S. Department of the Treasury. </w:t>
      </w:r>
      <w:r w:rsidRPr="00A86917">
        <w:rPr>
          <w:lang w:val="fr-FR"/>
        </w:rPr>
        <w:t>Available: https://home.treasury.gov/system/files/136/Labor-Unions-And-The-Middle-Class.pdf</w:t>
      </w:r>
    </w:p>
  </w:endnote>
  <w:endnote w:id="9">
    <w:p w14:paraId="5563CCC4" w14:textId="0FA3D7B6" w:rsidR="00B04190" w:rsidRPr="0052754D" w:rsidRDefault="00B04190">
      <w:pPr>
        <w:pStyle w:val="EndnoteText"/>
      </w:pPr>
      <w:r w:rsidRPr="0052754D">
        <w:rPr>
          <w:rStyle w:val="EndnoteReference"/>
        </w:rPr>
        <w:endnoteRef/>
      </w:r>
      <w:r w:rsidRPr="0052754D">
        <w:t xml:space="preserve"> Ibid.</w:t>
      </w:r>
    </w:p>
  </w:endnote>
  <w:endnote w:id="10">
    <w:p w14:paraId="171F6B37" w14:textId="098478CE" w:rsidR="00B04190" w:rsidRPr="0052754D" w:rsidRDefault="00B04190">
      <w:pPr>
        <w:pStyle w:val="EndnoteText"/>
        <w:rPr>
          <w:b/>
          <w:bCs/>
        </w:rPr>
      </w:pPr>
      <w:r w:rsidRPr="0052754D">
        <w:rPr>
          <w:rStyle w:val="EndnoteReference"/>
        </w:rPr>
        <w:endnoteRef/>
      </w:r>
      <w:r w:rsidRPr="0052754D">
        <w:t xml:space="preserve"> --. (August 28, 2023). </w:t>
      </w:r>
      <w:r w:rsidRPr="0052754D">
        <w:rPr>
          <w:i/>
          <w:iCs/>
        </w:rPr>
        <w:t>Fact sheet: Treasury Department releases first-of-its-kind report on benefits of unions to the U.S. economy</w:t>
      </w:r>
      <w:r w:rsidRPr="0052754D">
        <w:t xml:space="preserve">. U.S. Department of the Treasury. </w:t>
      </w:r>
      <w:r>
        <w:t xml:space="preserve">Available: </w:t>
      </w:r>
      <w:r w:rsidRPr="0052754D">
        <w:t>https://home.treasury.gov/news/press-releases/jy1706#:~:text=Unions%20raise%20the%20wages%20of,stability%20and%20worker%20well%2Dbeing.</w:t>
      </w:r>
    </w:p>
  </w:endnote>
  <w:endnote w:id="11">
    <w:p w14:paraId="209015F1" w14:textId="77777777" w:rsidR="00820962" w:rsidRPr="0052754D" w:rsidRDefault="00820962" w:rsidP="00820962">
      <w:pPr>
        <w:pStyle w:val="EndnoteText"/>
      </w:pPr>
      <w:r w:rsidRPr="0052754D">
        <w:rPr>
          <w:rStyle w:val="EndnoteReference"/>
        </w:rPr>
        <w:endnoteRef/>
      </w:r>
      <w:r w:rsidRPr="0052754D">
        <w:t xml:space="preserve"> Lomax, M. L. (ND). </w:t>
      </w:r>
      <w:r w:rsidRPr="0052754D">
        <w:rPr>
          <w:i/>
          <w:iCs/>
        </w:rPr>
        <w:t>Six reasons HBCUs are more important than ever</w:t>
      </w:r>
      <w:r w:rsidRPr="0052754D">
        <w:t>. UNCF. Available: https://uncf.org/the-latest/6-reasons-hbcus-are-more-important-than-ever#:~:text=HBCUs%20provide%20a%20stable%20and,needs%20to%20obtain%20college%20degrees.</w:t>
      </w:r>
    </w:p>
  </w:endnote>
  <w:endnote w:id="12">
    <w:p w14:paraId="52A68715" w14:textId="77777777" w:rsidR="00820962" w:rsidRDefault="00820962" w:rsidP="00820962">
      <w:pPr>
        <w:pStyle w:val="EndnoteText"/>
      </w:pPr>
      <w:r>
        <w:rPr>
          <w:rStyle w:val="EndnoteReference"/>
        </w:rPr>
        <w:endnoteRef/>
      </w:r>
      <w:r>
        <w:t xml:space="preserve"> </w:t>
      </w:r>
      <w:r w:rsidRPr="00416247">
        <w:t>https://www.insidehighered.com/news/government/politics-elections/2025/02/11/tenuous-moment-msis-hbcus-and-tcus-under-trump</w:t>
      </w:r>
    </w:p>
  </w:endnote>
  <w:endnote w:id="13">
    <w:p w14:paraId="2BAC9B50" w14:textId="77777777" w:rsidR="0013253F" w:rsidRPr="0052754D" w:rsidRDefault="0013253F" w:rsidP="0013253F">
      <w:pPr>
        <w:pStyle w:val="EndnoteText"/>
      </w:pPr>
      <w:r w:rsidRPr="0052754D">
        <w:rPr>
          <w:rStyle w:val="EndnoteReference"/>
        </w:rPr>
        <w:endnoteRef/>
      </w:r>
      <w:r w:rsidRPr="0052754D">
        <w:t xml:space="preserve"> </w:t>
      </w:r>
      <w:r w:rsidRPr="0052754D">
        <w:t xml:space="preserve">Krob, K. and Kim, E. (August 30, 2023). </w:t>
      </w:r>
      <w:r w:rsidRPr="0052754D">
        <w:rPr>
          <w:i/>
          <w:iCs/>
        </w:rPr>
        <w:t>2024 U.S. State budgets resilient: States juggle spending pressure and slower revenue growth.</w:t>
      </w:r>
      <w:r w:rsidRPr="0052754D">
        <w:t xml:space="preserve"> Fitch Ratings. Available: https://penniur.upenn.edu/uploads/media/Fitch-2024-US-State-Budgets-Resilient-States-Juggle-Spending-Pressure-and-Slower-Revenue-Growth-10243384_1.pdf.</w:t>
      </w:r>
    </w:p>
  </w:endnote>
  <w:endnote w:id="14">
    <w:p w14:paraId="467023E0" w14:textId="596FF08B" w:rsidR="00676BD1" w:rsidRPr="00A86917" w:rsidRDefault="00676BD1" w:rsidP="00676BD1">
      <w:pPr>
        <w:pStyle w:val="EndnoteText"/>
        <w:rPr>
          <w:lang w:val="fr-FR"/>
        </w:rPr>
      </w:pPr>
      <w:r w:rsidRPr="0052754D">
        <w:rPr>
          <w:rStyle w:val="EndnoteReference"/>
        </w:rPr>
        <w:endnoteRef/>
      </w:r>
      <w:r w:rsidRPr="0052754D">
        <w:t xml:space="preserve"> Nietzel, M. T. (January 1, 2024). </w:t>
      </w:r>
      <w:r w:rsidRPr="0052754D">
        <w:rPr>
          <w:i/>
          <w:iCs/>
        </w:rPr>
        <w:t>5 Higher education trends to watch for in 2024</w:t>
      </w:r>
      <w:r w:rsidRPr="0052754D">
        <w:t xml:space="preserve">. </w:t>
      </w:r>
      <w:r w:rsidRPr="00A86917">
        <w:rPr>
          <w:lang w:val="fr-FR"/>
        </w:rPr>
        <w:t xml:space="preserve">Forbes. </w:t>
      </w:r>
      <w:r w:rsidRPr="00A86917">
        <w:rPr>
          <w:lang w:val="fr-FR"/>
        </w:rPr>
        <w:t>Available</w:t>
      </w:r>
      <w:r w:rsidR="00A449BB">
        <w:rPr>
          <w:lang w:val="fr-FR"/>
        </w:rPr>
        <w:t>:</w:t>
      </w:r>
      <w:r w:rsidRPr="00A86917">
        <w:rPr>
          <w:lang w:val="fr-FR"/>
        </w:rPr>
        <w:t xml:space="preserve"> https://www.forbes.com/sites/michaeltnietzel/2024/01/01/five-higher-education-trends-to-watch-for-in-2024/?sh=6c0f4c5e4fcb</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3413010"/>
      <w:docPartObj>
        <w:docPartGallery w:val="Page Numbers (Bottom of Page)"/>
        <w:docPartUnique/>
      </w:docPartObj>
    </w:sdtPr>
    <w:sdtEndPr>
      <w:rPr>
        <w:noProof/>
      </w:rPr>
    </w:sdtEndPr>
    <w:sdtContent>
      <w:p w14:paraId="6603B61D" w14:textId="217DDCFA" w:rsidR="00744C46" w:rsidRDefault="00744C4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B7069FF" w14:textId="77777777" w:rsidR="00744C46" w:rsidRDefault="00744C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194A96" w14:textId="77777777" w:rsidR="000670D6" w:rsidRDefault="000670D6" w:rsidP="003450A2">
      <w:pPr>
        <w:spacing w:after="0" w:line="240" w:lineRule="auto"/>
      </w:pPr>
      <w:r>
        <w:separator/>
      </w:r>
    </w:p>
  </w:footnote>
  <w:footnote w:type="continuationSeparator" w:id="0">
    <w:p w14:paraId="6509086A" w14:textId="77777777" w:rsidR="000670D6" w:rsidRDefault="000670D6" w:rsidP="003450A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9"/>
  <w:proofState w:spelling="clean" w:grammar="clean"/>
  <w:defaultTabStop w:val="720"/>
  <w:characterSpacingControl w:val="doNotCompress"/>
  <w:hdrShapeDefaults>
    <o:shapedefaults v:ext="edit" spidmax="2050"/>
  </w:hdrShapeDefaults>
  <w:footnotePr>
    <w:numFmt w:val="lowerRoman"/>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0A2"/>
    <w:rsid w:val="00000E46"/>
    <w:rsid w:val="00005E07"/>
    <w:rsid w:val="00007B3F"/>
    <w:rsid w:val="00011DB9"/>
    <w:rsid w:val="000126C5"/>
    <w:rsid w:val="00013AC6"/>
    <w:rsid w:val="0001468B"/>
    <w:rsid w:val="00017990"/>
    <w:rsid w:val="000210BC"/>
    <w:rsid w:val="00022790"/>
    <w:rsid w:val="00023959"/>
    <w:rsid w:val="0002498D"/>
    <w:rsid w:val="00030A9E"/>
    <w:rsid w:val="00033B91"/>
    <w:rsid w:val="000349DD"/>
    <w:rsid w:val="00034F67"/>
    <w:rsid w:val="0003585E"/>
    <w:rsid w:val="00035C8D"/>
    <w:rsid w:val="000420C2"/>
    <w:rsid w:val="00044AA4"/>
    <w:rsid w:val="00050853"/>
    <w:rsid w:val="00050B04"/>
    <w:rsid w:val="00050F68"/>
    <w:rsid w:val="00051630"/>
    <w:rsid w:val="00051B2A"/>
    <w:rsid w:val="00056269"/>
    <w:rsid w:val="000609C6"/>
    <w:rsid w:val="00061E0D"/>
    <w:rsid w:val="00062811"/>
    <w:rsid w:val="000640D1"/>
    <w:rsid w:val="000670D6"/>
    <w:rsid w:val="00071670"/>
    <w:rsid w:val="000717C9"/>
    <w:rsid w:val="00074460"/>
    <w:rsid w:val="00074582"/>
    <w:rsid w:val="00074BAF"/>
    <w:rsid w:val="000774C7"/>
    <w:rsid w:val="00080D2A"/>
    <w:rsid w:val="0008268D"/>
    <w:rsid w:val="00082E3A"/>
    <w:rsid w:val="00083F70"/>
    <w:rsid w:val="00085A65"/>
    <w:rsid w:val="00087435"/>
    <w:rsid w:val="00092C01"/>
    <w:rsid w:val="00093B08"/>
    <w:rsid w:val="000973E2"/>
    <w:rsid w:val="000A449B"/>
    <w:rsid w:val="000B10D6"/>
    <w:rsid w:val="000B5A57"/>
    <w:rsid w:val="000B5BE0"/>
    <w:rsid w:val="000B6BAE"/>
    <w:rsid w:val="000B797C"/>
    <w:rsid w:val="000B7CC2"/>
    <w:rsid w:val="000C248A"/>
    <w:rsid w:val="000C2671"/>
    <w:rsid w:val="000C283C"/>
    <w:rsid w:val="000C2E75"/>
    <w:rsid w:val="000C388F"/>
    <w:rsid w:val="000D0151"/>
    <w:rsid w:val="000D406F"/>
    <w:rsid w:val="000D456E"/>
    <w:rsid w:val="000D6D4C"/>
    <w:rsid w:val="000D74E6"/>
    <w:rsid w:val="000D7576"/>
    <w:rsid w:val="000E0B74"/>
    <w:rsid w:val="000E55D4"/>
    <w:rsid w:val="000F22FD"/>
    <w:rsid w:val="000F3B8A"/>
    <w:rsid w:val="000F55A5"/>
    <w:rsid w:val="000F5717"/>
    <w:rsid w:val="001026B2"/>
    <w:rsid w:val="001034B8"/>
    <w:rsid w:val="001036BE"/>
    <w:rsid w:val="00106DB3"/>
    <w:rsid w:val="00112869"/>
    <w:rsid w:val="00115F1E"/>
    <w:rsid w:val="00117FBB"/>
    <w:rsid w:val="00123048"/>
    <w:rsid w:val="0012511D"/>
    <w:rsid w:val="00125A24"/>
    <w:rsid w:val="001305E7"/>
    <w:rsid w:val="0013253F"/>
    <w:rsid w:val="00132A0A"/>
    <w:rsid w:val="00132A96"/>
    <w:rsid w:val="00133D68"/>
    <w:rsid w:val="00140C2E"/>
    <w:rsid w:val="001410DA"/>
    <w:rsid w:val="001429C4"/>
    <w:rsid w:val="00151D33"/>
    <w:rsid w:val="001534AE"/>
    <w:rsid w:val="00153BB0"/>
    <w:rsid w:val="00154457"/>
    <w:rsid w:val="00155B88"/>
    <w:rsid w:val="001567EC"/>
    <w:rsid w:val="00157212"/>
    <w:rsid w:val="0016247E"/>
    <w:rsid w:val="00166B77"/>
    <w:rsid w:val="001670BD"/>
    <w:rsid w:val="001719F8"/>
    <w:rsid w:val="001746E5"/>
    <w:rsid w:val="00174B7E"/>
    <w:rsid w:val="00175552"/>
    <w:rsid w:val="001760EB"/>
    <w:rsid w:val="00180765"/>
    <w:rsid w:val="00180A44"/>
    <w:rsid w:val="0018243A"/>
    <w:rsid w:val="001901C9"/>
    <w:rsid w:val="00191020"/>
    <w:rsid w:val="001913EA"/>
    <w:rsid w:val="0019184F"/>
    <w:rsid w:val="0019276D"/>
    <w:rsid w:val="00195BA9"/>
    <w:rsid w:val="00196198"/>
    <w:rsid w:val="00196FE6"/>
    <w:rsid w:val="001A0156"/>
    <w:rsid w:val="001A0BF3"/>
    <w:rsid w:val="001A0E28"/>
    <w:rsid w:val="001A112F"/>
    <w:rsid w:val="001A1375"/>
    <w:rsid w:val="001A3CBD"/>
    <w:rsid w:val="001A6271"/>
    <w:rsid w:val="001B11AA"/>
    <w:rsid w:val="001B2570"/>
    <w:rsid w:val="001B61D2"/>
    <w:rsid w:val="001B6FED"/>
    <w:rsid w:val="001B7430"/>
    <w:rsid w:val="001B7A90"/>
    <w:rsid w:val="001C16DD"/>
    <w:rsid w:val="001C2FD7"/>
    <w:rsid w:val="001C3C61"/>
    <w:rsid w:val="001C518A"/>
    <w:rsid w:val="001C5ED8"/>
    <w:rsid w:val="001D03C3"/>
    <w:rsid w:val="001D31DA"/>
    <w:rsid w:val="001D7DF8"/>
    <w:rsid w:val="001E49B1"/>
    <w:rsid w:val="001E4A3B"/>
    <w:rsid w:val="001E5401"/>
    <w:rsid w:val="001E7038"/>
    <w:rsid w:val="001F2428"/>
    <w:rsid w:val="001F2739"/>
    <w:rsid w:val="001F5DC4"/>
    <w:rsid w:val="0020058A"/>
    <w:rsid w:val="002008EF"/>
    <w:rsid w:val="00202F0A"/>
    <w:rsid w:val="002060D6"/>
    <w:rsid w:val="00206A0E"/>
    <w:rsid w:val="0020717C"/>
    <w:rsid w:val="002113BD"/>
    <w:rsid w:val="002117C7"/>
    <w:rsid w:val="00214633"/>
    <w:rsid w:val="0021797B"/>
    <w:rsid w:val="00217E62"/>
    <w:rsid w:val="00221D6E"/>
    <w:rsid w:val="00222C6B"/>
    <w:rsid w:val="00224678"/>
    <w:rsid w:val="00226136"/>
    <w:rsid w:val="00226398"/>
    <w:rsid w:val="002266BF"/>
    <w:rsid w:val="00227D32"/>
    <w:rsid w:val="0023287A"/>
    <w:rsid w:val="00232F3A"/>
    <w:rsid w:val="002332CA"/>
    <w:rsid w:val="00236074"/>
    <w:rsid w:val="00237C50"/>
    <w:rsid w:val="002401BF"/>
    <w:rsid w:val="00240BC4"/>
    <w:rsid w:val="00240CC0"/>
    <w:rsid w:val="00243059"/>
    <w:rsid w:val="00250540"/>
    <w:rsid w:val="00250B8B"/>
    <w:rsid w:val="00251538"/>
    <w:rsid w:val="0025222B"/>
    <w:rsid w:val="00253F25"/>
    <w:rsid w:val="00254D4D"/>
    <w:rsid w:val="00255445"/>
    <w:rsid w:val="00255C49"/>
    <w:rsid w:val="00256C8B"/>
    <w:rsid w:val="00257E64"/>
    <w:rsid w:val="00260295"/>
    <w:rsid w:val="002607BC"/>
    <w:rsid w:val="002608C9"/>
    <w:rsid w:val="00260B6C"/>
    <w:rsid w:val="002620F8"/>
    <w:rsid w:val="002659BA"/>
    <w:rsid w:val="00270F1E"/>
    <w:rsid w:val="00271692"/>
    <w:rsid w:val="002723B3"/>
    <w:rsid w:val="00273541"/>
    <w:rsid w:val="00274BE7"/>
    <w:rsid w:val="00274C71"/>
    <w:rsid w:val="00280B77"/>
    <w:rsid w:val="0028143D"/>
    <w:rsid w:val="002844EF"/>
    <w:rsid w:val="00287258"/>
    <w:rsid w:val="00290BBD"/>
    <w:rsid w:val="00293265"/>
    <w:rsid w:val="00294D6B"/>
    <w:rsid w:val="002952E7"/>
    <w:rsid w:val="00296675"/>
    <w:rsid w:val="0029679E"/>
    <w:rsid w:val="00297FB3"/>
    <w:rsid w:val="002A0C83"/>
    <w:rsid w:val="002A0CD4"/>
    <w:rsid w:val="002A2248"/>
    <w:rsid w:val="002A57E1"/>
    <w:rsid w:val="002A68F5"/>
    <w:rsid w:val="002A7545"/>
    <w:rsid w:val="002B1449"/>
    <w:rsid w:val="002B1CEA"/>
    <w:rsid w:val="002B31DB"/>
    <w:rsid w:val="002B3E3F"/>
    <w:rsid w:val="002B5D13"/>
    <w:rsid w:val="002B61EF"/>
    <w:rsid w:val="002B788E"/>
    <w:rsid w:val="002B7B7D"/>
    <w:rsid w:val="002C1F88"/>
    <w:rsid w:val="002C4585"/>
    <w:rsid w:val="002C63A5"/>
    <w:rsid w:val="002C76D2"/>
    <w:rsid w:val="002C7928"/>
    <w:rsid w:val="002D397E"/>
    <w:rsid w:val="002D6984"/>
    <w:rsid w:val="002D77AE"/>
    <w:rsid w:val="002E146D"/>
    <w:rsid w:val="002E2943"/>
    <w:rsid w:val="002E41CB"/>
    <w:rsid w:val="002E561F"/>
    <w:rsid w:val="002E5CFB"/>
    <w:rsid w:val="002E770C"/>
    <w:rsid w:val="002F0C27"/>
    <w:rsid w:val="002F144D"/>
    <w:rsid w:val="002F23AF"/>
    <w:rsid w:val="002F3366"/>
    <w:rsid w:val="002F3572"/>
    <w:rsid w:val="002F3FD6"/>
    <w:rsid w:val="002F4614"/>
    <w:rsid w:val="002F5541"/>
    <w:rsid w:val="002F663E"/>
    <w:rsid w:val="002F707E"/>
    <w:rsid w:val="002F7CFE"/>
    <w:rsid w:val="003035CC"/>
    <w:rsid w:val="00303AD1"/>
    <w:rsid w:val="003048DB"/>
    <w:rsid w:val="00305F67"/>
    <w:rsid w:val="0030686C"/>
    <w:rsid w:val="0031003C"/>
    <w:rsid w:val="00310744"/>
    <w:rsid w:val="00310843"/>
    <w:rsid w:val="00311AAA"/>
    <w:rsid w:val="0031205A"/>
    <w:rsid w:val="003130BC"/>
    <w:rsid w:val="0032115C"/>
    <w:rsid w:val="00321265"/>
    <w:rsid w:val="00322498"/>
    <w:rsid w:val="00322A77"/>
    <w:rsid w:val="00322BBE"/>
    <w:rsid w:val="0032338E"/>
    <w:rsid w:val="00323CE8"/>
    <w:rsid w:val="00323F43"/>
    <w:rsid w:val="0032626C"/>
    <w:rsid w:val="00327F68"/>
    <w:rsid w:val="00333A85"/>
    <w:rsid w:val="0033569E"/>
    <w:rsid w:val="00336B60"/>
    <w:rsid w:val="00336C44"/>
    <w:rsid w:val="00343C4B"/>
    <w:rsid w:val="00343EA2"/>
    <w:rsid w:val="00344AA4"/>
    <w:rsid w:val="00344E3E"/>
    <w:rsid w:val="00345012"/>
    <w:rsid w:val="003450A2"/>
    <w:rsid w:val="00346B40"/>
    <w:rsid w:val="003505BB"/>
    <w:rsid w:val="00353FC1"/>
    <w:rsid w:val="003573DD"/>
    <w:rsid w:val="00357B47"/>
    <w:rsid w:val="003604A1"/>
    <w:rsid w:val="00360FFE"/>
    <w:rsid w:val="0036320B"/>
    <w:rsid w:val="003643F5"/>
    <w:rsid w:val="00365117"/>
    <w:rsid w:val="003653EF"/>
    <w:rsid w:val="00365971"/>
    <w:rsid w:val="00366A17"/>
    <w:rsid w:val="003678E6"/>
    <w:rsid w:val="00371C12"/>
    <w:rsid w:val="00372122"/>
    <w:rsid w:val="00375B88"/>
    <w:rsid w:val="00376BC2"/>
    <w:rsid w:val="003775F5"/>
    <w:rsid w:val="00377886"/>
    <w:rsid w:val="0038073B"/>
    <w:rsid w:val="00383F8B"/>
    <w:rsid w:val="00384496"/>
    <w:rsid w:val="00384BC6"/>
    <w:rsid w:val="00385547"/>
    <w:rsid w:val="003879E6"/>
    <w:rsid w:val="003907ED"/>
    <w:rsid w:val="003912CD"/>
    <w:rsid w:val="003916BD"/>
    <w:rsid w:val="003919CE"/>
    <w:rsid w:val="00395243"/>
    <w:rsid w:val="003A174F"/>
    <w:rsid w:val="003A2891"/>
    <w:rsid w:val="003A528C"/>
    <w:rsid w:val="003A5883"/>
    <w:rsid w:val="003A6960"/>
    <w:rsid w:val="003B1B82"/>
    <w:rsid w:val="003B466B"/>
    <w:rsid w:val="003C2167"/>
    <w:rsid w:val="003C2A71"/>
    <w:rsid w:val="003C5222"/>
    <w:rsid w:val="003C5BB2"/>
    <w:rsid w:val="003C68E1"/>
    <w:rsid w:val="003C7334"/>
    <w:rsid w:val="003C785C"/>
    <w:rsid w:val="003D3237"/>
    <w:rsid w:val="003D49A6"/>
    <w:rsid w:val="003D58A8"/>
    <w:rsid w:val="003D59BD"/>
    <w:rsid w:val="003E045B"/>
    <w:rsid w:val="003E059C"/>
    <w:rsid w:val="003E2A0D"/>
    <w:rsid w:val="003E6449"/>
    <w:rsid w:val="003E6F8E"/>
    <w:rsid w:val="003F0472"/>
    <w:rsid w:val="003F36B4"/>
    <w:rsid w:val="003F4288"/>
    <w:rsid w:val="003F6DE5"/>
    <w:rsid w:val="003F7512"/>
    <w:rsid w:val="004006FA"/>
    <w:rsid w:val="00400EFF"/>
    <w:rsid w:val="0040332B"/>
    <w:rsid w:val="00404BA2"/>
    <w:rsid w:val="004054D6"/>
    <w:rsid w:val="00410FF5"/>
    <w:rsid w:val="004113F5"/>
    <w:rsid w:val="0041438E"/>
    <w:rsid w:val="004143DE"/>
    <w:rsid w:val="00414FF5"/>
    <w:rsid w:val="004153BE"/>
    <w:rsid w:val="00415A15"/>
    <w:rsid w:val="00416247"/>
    <w:rsid w:val="00421652"/>
    <w:rsid w:val="004222E6"/>
    <w:rsid w:val="00423771"/>
    <w:rsid w:val="00424116"/>
    <w:rsid w:val="00427556"/>
    <w:rsid w:val="00433544"/>
    <w:rsid w:val="0043379B"/>
    <w:rsid w:val="00433F1F"/>
    <w:rsid w:val="00433F9C"/>
    <w:rsid w:val="0043597C"/>
    <w:rsid w:val="00436B25"/>
    <w:rsid w:val="00437875"/>
    <w:rsid w:val="00437A3D"/>
    <w:rsid w:val="00440616"/>
    <w:rsid w:val="004408F1"/>
    <w:rsid w:val="00440C80"/>
    <w:rsid w:val="00442B6C"/>
    <w:rsid w:val="004447C2"/>
    <w:rsid w:val="00445858"/>
    <w:rsid w:val="00446135"/>
    <w:rsid w:val="004464EA"/>
    <w:rsid w:val="00447488"/>
    <w:rsid w:val="00447F11"/>
    <w:rsid w:val="00451872"/>
    <w:rsid w:val="00454F15"/>
    <w:rsid w:val="00463BD5"/>
    <w:rsid w:val="0046455E"/>
    <w:rsid w:val="0046691C"/>
    <w:rsid w:val="00472918"/>
    <w:rsid w:val="0047429F"/>
    <w:rsid w:val="00476294"/>
    <w:rsid w:val="00476F7A"/>
    <w:rsid w:val="004770ED"/>
    <w:rsid w:val="00483752"/>
    <w:rsid w:val="004864C0"/>
    <w:rsid w:val="00490712"/>
    <w:rsid w:val="004908F0"/>
    <w:rsid w:val="00491171"/>
    <w:rsid w:val="00491238"/>
    <w:rsid w:val="004955D1"/>
    <w:rsid w:val="004958C4"/>
    <w:rsid w:val="004A06F8"/>
    <w:rsid w:val="004A1409"/>
    <w:rsid w:val="004A1E91"/>
    <w:rsid w:val="004A63E8"/>
    <w:rsid w:val="004A76A1"/>
    <w:rsid w:val="004A792E"/>
    <w:rsid w:val="004B0CB7"/>
    <w:rsid w:val="004B2437"/>
    <w:rsid w:val="004B2FFF"/>
    <w:rsid w:val="004C1B08"/>
    <w:rsid w:val="004C2B4C"/>
    <w:rsid w:val="004C2CB4"/>
    <w:rsid w:val="004C441C"/>
    <w:rsid w:val="004C4499"/>
    <w:rsid w:val="004C4FEC"/>
    <w:rsid w:val="004C67BE"/>
    <w:rsid w:val="004D113E"/>
    <w:rsid w:val="004D21D9"/>
    <w:rsid w:val="004D287D"/>
    <w:rsid w:val="004D2E4B"/>
    <w:rsid w:val="004D30D6"/>
    <w:rsid w:val="004D3787"/>
    <w:rsid w:val="004D5E7F"/>
    <w:rsid w:val="004D5F23"/>
    <w:rsid w:val="004D76D1"/>
    <w:rsid w:val="004E23A5"/>
    <w:rsid w:val="004E3918"/>
    <w:rsid w:val="004E3E8F"/>
    <w:rsid w:val="005016C0"/>
    <w:rsid w:val="005016D3"/>
    <w:rsid w:val="00503DD8"/>
    <w:rsid w:val="00506311"/>
    <w:rsid w:val="00506A2F"/>
    <w:rsid w:val="005100F2"/>
    <w:rsid w:val="005107D6"/>
    <w:rsid w:val="005108A6"/>
    <w:rsid w:val="005152DD"/>
    <w:rsid w:val="00515317"/>
    <w:rsid w:val="00521863"/>
    <w:rsid w:val="00521A29"/>
    <w:rsid w:val="00522056"/>
    <w:rsid w:val="005220E5"/>
    <w:rsid w:val="00526156"/>
    <w:rsid w:val="00526CEB"/>
    <w:rsid w:val="0052754D"/>
    <w:rsid w:val="00537F58"/>
    <w:rsid w:val="00540501"/>
    <w:rsid w:val="00542DBC"/>
    <w:rsid w:val="00543005"/>
    <w:rsid w:val="0054394C"/>
    <w:rsid w:val="00544E70"/>
    <w:rsid w:val="00546257"/>
    <w:rsid w:val="0054708E"/>
    <w:rsid w:val="00551517"/>
    <w:rsid w:val="005530BE"/>
    <w:rsid w:val="005553D3"/>
    <w:rsid w:val="00555C10"/>
    <w:rsid w:val="00557B85"/>
    <w:rsid w:val="00557FF7"/>
    <w:rsid w:val="00560712"/>
    <w:rsid w:val="005608B0"/>
    <w:rsid w:val="00563E1F"/>
    <w:rsid w:val="00565D6C"/>
    <w:rsid w:val="0056688D"/>
    <w:rsid w:val="00570E97"/>
    <w:rsid w:val="00573D2F"/>
    <w:rsid w:val="005761B2"/>
    <w:rsid w:val="0057744F"/>
    <w:rsid w:val="00583912"/>
    <w:rsid w:val="00585D19"/>
    <w:rsid w:val="00586608"/>
    <w:rsid w:val="00587724"/>
    <w:rsid w:val="0059232E"/>
    <w:rsid w:val="005949D8"/>
    <w:rsid w:val="005A52C5"/>
    <w:rsid w:val="005A7429"/>
    <w:rsid w:val="005B2F79"/>
    <w:rsid w:val="005C1010"/>
    <w:rsid w:val="005C1F18"/>
    <w:rsid w:val="005C3797"/>
    <w:rsid w:val="005C72CE"/>
    <w:rsid w:val="005D0E82"/>
    <w:rsid w:val="005D2783"/>
    <w:rsid w:val="005D3292"/>
    <w:rsid w:val="005D3E27"/>
    <w:rsid w:val="005E5CE9"/>
    <w:rsid w:val="005F0AA8"/>
    <w:rsid w:val="005F13F0"/>
    <w:rsid w:val="005F2639"/>
    <w:rsid w:val="005F4FBA"/>
    <w:rsid w:val="005F7F37"/>
    <w:rsid w:val="00601920"/>
    <w:rsid w:val="00602362"/>
    <w:rsid w:val="00603B6E"/>
    <w:rsid w:val="00604086"/>
    <w:rsid w:val="00604349"/>
    <w:rsid w:val="006050E4"/>
    <w:rsid w:val="006051B8"/>
    <w:rsid w:val="00607C1F"/>
    <w:rsid w:val="00610290"/>
    <w:rsid w:val="006121F2"/>
    <w:rsid w:val="006132D6"/>
    <w:rsid w:val="00613B48"/>
    <w:rsid w:val="00614ABA"/>
    <w:rsid w:val="00615BA4"/>
    <w:rsid w:val="00616035"/>
    <w:rsid w:val="00617868"/>
    <w:rsid w:val="006205A6"/>
    <w:rsid w:val="006205F5"/>
    <w:rsid w:val="00622E32"/>
    <w:rsid w:val="0062333A"/>
    <w:rsid w:val="00624589"/>
    <w:rsid w:val="00624B14"/>
    <w:rsid w:val="00626AEC"/>
    <w:rsid w:val="006272CA"/>
    <w:rsid w:val="00627825"/>
    <w:rsid w:val="00627B2E"/>
    <w:rsid w:val="00630564"/>
    <w:rsid w:val="00631F67"/>
    <w:rsid w:val="006365FB"/>
    <w:rsid w:val="00637DA1"/>
    <w:rsid w:val="00642948"/>
    <w:rsid w:val="006431DD"/>
    <w:rsid w:val="00646A88"/>
    <w:rsid w:val="006514C3"/>
    <w:rsid w:val="00651797"/>
    <w:rsid w:val="00651988"/>
    <w:rsid w:val="00654BF2"/>
    <w:rsid w:val="00655F39"/>
    <w:rsid w:val="00661643"/>
    <w:rsid w:val="00670BFB"/>
    <w:rsid w:val="00674E36"/>
    <w:rsid w:val="006751FD"/>
    <w:rsid w:val="006757B6"/>
    <w:rsid w:val="00675E59"/>
    <w:rsid w:val="00676BD1"/>
    <w:rsid w:val="006813E7"/>
    <w:rsid w:val="00683A09"/>
    <w:rsid w:val="00685D01"/>
    <w:rsid w:val="00687058"/>
    <w:rsid w:val="00691C8D"/>
    <w:rsid w:val="00693683"/>
    <w:rsid w:val="006936E9"/>
    <w:rsid w:val="006965C5"/>
    <w:rsid w:val="00696950"/>
    <w:rsid w:val="006976C9"/>
    <w:rsid w:val="006A088C"/>
    <w:rsid w:val="006A0CD2"/>
    <w:rsid w:val="006A1051"/>
    <w:rsid w:val="006A1A9E"/>
    <w:rsid w:val="006B30F5"/>
    <w:rsid w:val="006B36FF"/>
    <w:rsid w:val="006B4FBA"/>
    <w:rsid w:val="006B5C44"/>
    <w:rsid w:val="006C0BD0"/>
    <w:rsid w:val="006C0E44"/>
    <w:rsid w:val="006C14A9"/>
    <w:rsid w:val="006C4709"/>
    <w:rsid w:val="006C496F"/>
    <w:rsid w:val="006C5545"/>
    <w:rsid w:val="006C574D"/>
    <w:rsid w:val="006C7E3A"/>
    <w:rsid w:val="006D02A3"/>
    <w:rsid w:val="006D0627"/>
    <w:rsid w:val="006D1587"/>
    <w:rsid w:val="006D2C9E"/>
    <w:rsid w:val="006D60E1"/>
    <w:rsid w:val="006D704C"/>
    <w:rsid w:val="006E0C46"/>
    <w:rsid w:val="006E4328"/>
    <w:rsid w:val="006E4E89"/>
    <w:rsid w:val="006E5334"/>
    <w:rsid w:val="006F21AD"/>
    <w:rsid w:val="006F656B"/>
    <w:rsid w:val="00701583"/>
    <w:rsid w:val="00701C89"/>
    <w:rsid w:val="00705158"/>
    <w:rsid w:val="00705B4E"/>
    <w:rsid w:val="00707F28"/>
    <w:rsid w:val="0071069F"/>
    <w:rsid w:val="007121CE"/>
    <w:rsid w:val="007121D7"/>
    <w:rsid w:val="00717C79"/>
    <w:rsid w:val="00721D96"/>
    <w:rsid w:val="00722A60"/>
    <w:rsid w:val="00723884"/>
    <w:rsid w:val="007259AA"/>
    <w:rsid w:val="00727B05"/>
    <w:rsid w:val="0073156E"/>
    <w:rsid w:val="0073235B"/>
    <w:rsid w:val="00733E12"/>
    <w:rsid w:val="007350BC"/>
    <w:rsid w:val="00737AB9"/>
    <w:rsid w:val="00737DA8"/>
    <w:rsid w:val="00740DE2"/>
    <w:rsid w:val="007424C6"/>
    <w:rsid w:val="00744414"/>
    <w:rsid w:val="00744C46"/>
    <w:rsid w:val="00750450"/>
    <w:rsid w:val="00754186"/>
    <w:rsid w:val="007558CC"/>
    <w:rsid w:val="0075602E"/>
    <w:rsid w:val="0075761D"/>
    <w:rsid w:val="007602BE"/>
    <w:rsid w:val="00761895"/>
    <w:rsid w:val="00761F7A"/>
    <w:rsid w:val="007628E3"/>
    <w:rsid w:val="00762AF7"/>
    <w:rsid w:val="0076401F"/>
    <w:rsid w:val="00764C0D"/>
    <w:rsid w:val="00764C45"/>
    <w:rsid w:val="00765669"/>
    <w:rsid w:val="00767A47"/>
    <w:rsid w:val="00770119"/>
    <w:rsid w:val="00771904"/>
    <w:rsid w:val="00776EDA"/>
    <w:rsid w:val="00777500"/>
    <w:rsid w:val="0077784D"/>
    <w:rsid w:val="0078300E"/>
    <w:rsid w:val="0078602C"/>
    <w:rsid w:val="00786900"/>
    <w:rsid w:val="00787DE4"/>
    <w:rsid w:val="007935E5"/>
    <w:rsid w:val="007945B5"/>
    <w:rsid w:val="007A0143"/>
    <w:rsid w:val="007A19B0"/>
    <w:rsid w:val="007A3322"/>
    <w:rsid w:val="007A3398"/>
    <w:rsid w:val="007A3ADD"/>
    <w:rsid w:val="007A5C6F"/>
    <w:rsid w:val="007B0CA7"/>
    <w:rsid w:val="007B4DA6"/>
    <w:rsid w:val="007C171F"/>
    <w:rsid w:val="007C2839"/>
    <w:rsid w:val="007C3689"/>
    <w:rsid w:val="007C3B6C"/>
    <w:rsid w:val="007C3F14"/>
    <w:rsid w:val="007C4850"/>
    <w:rsid w:val="007C6DC1"/>
    <w:rsid w:val="007D058B"/>
    <w:rsid w:val="007D05F8"/>
    <w:rsid w:val="007D7366"/>
    <w:rsid w:val="007E314D"/>
    <w:rsid w:val="007E37B2"/>
    <w:rsid w:val="007E3823"/>
    <w:rsid w:val="007E3CB3"/>
    <w:rsid w:val="007F0A22"/>
    <w:rsid w:val="007F63FF"/>
    <w:rsid w:val="007F7757"/>
    <w:rsid w:val="008018A6"/>
    <w:rsid w:val="00803643"/>
    <w:rsid w:val="00805888"/>
    <w:rsid w:val="008154DA"/>
    <w:rsid w:val="00817A3E"/>
    <w:rsid w:val="00820962"/>
    <w:rsid w:val="0082318A"/>
    <w:rsid w:val="0082680A"/>
    <w:rsid w:val="008273E8"/>
    <w:rsid w:val="00827BB5"/>
    <w:rsid w:val="00830609"/>
    <w:rsid w:val="008307B1"/>
    <w:rsid w:val="00831DE1"/>
    <w:rsid w:val="00833219"/>
    <w:rsid w:val="00834BB8"/>
    <w:rsid w:val="00834F91"/>
    <w:rsid w:val="00847F84"/>
    <w:rsid w:val="00847FD9"/>
    <w:rsid w:val="0085250D"/>
    <w:rsid w:val="00852C85"/>
    <w:rsid w:val="008535E2"/>
    <w:rsid w:val="00860794"/>
    <w:rsid w:val="0086160A"/>
    <w:rsid w:val="00863D20"/>
    <w:rsid w:val="00870394"/>
    <w:rsid w:val="008709BC"/>
    <w:rsid w:val="00875572"/>
    <w:rsid w:val="00877A91"/>
    <w:rsid w:val="00882E59"/>
    <w:rsid w:val="0088761D"/>
    <w:rsid w:val="00887EA9"/>
    <w:rsid w:val="0089087A"/>
    <w:rsid w:val="00893921"/>
    <w:rsid w:val="00894416"/>
    <w:rsid w:val="00894B34"/>
    <w:rsid w:val="00895317"/>
    <w:rsid w:val="008A022C"/>
    <w:rsid w:val="008A032B"/>
    <w:rsid w:val="008A1C93"/>
    <w:rsid w:val="008A2692"/>
    <w:rsid w:val="008B086D"/>
    <w:rsid w:val="008B18A5"/>
    <w:rsid w:val="008B3043"/>
    <w:rsid w:val="008B5ED2"/>
    <w:rsid w:val="008B65FB"/>
    <w:rsid w:val="008B7E42"/>
    <w:rsid w:val="008C7EFE"/>
    <w:rsid w:val="008D12D0"/>
    <w:rsid w:val="008D32BB"/>
    <w:rsid w:val="008D3871"/>
    <w:rsid w:val="008D4BBA"/>
    <w:rsid w:val="008D4E7B"/>
    <w:rsid w:val="008E40DF"/>
    <w:rsid w:val="008E5BA2"/>
    <w:rsid w:val="008E7321"/>
    <w:rsid w:val="008F55A4"/>
    <w:rsid w:val="008F60F5"/>
    <w:rsid w:val="0090032A"/>
    <w:rsid w:val="00900A22"/>
    <w:rsid w:val="00901F64"/>
    <w:rsid w:val="00902452"/>
    <w:rsid w:val="0090650B"/>
    <w:rsid w:val="00906CAE"/>
    <w:rsid w:val="009076B3"/>
    <w:rsid w:val="00907844"/>
    <w:rsid w:val="00910E15"/>
    <w:rsid w:val="009127E7"/>
    <w:rsid w:val="0091390A"/>
    <w:rsid w:val="00913AD0"/>
    <w:rsid w:val="0091656A"/>
    <w:rsid w:val="00920B3C"/>
    <w:rsid w:val="00921736"/>
    <w:rsid w:val="009218BE"/>
    <w:rsid w:val="00922DB0"/>
    <w:rsid w:val="00923969"/>
    <w:rsid w:val="009273BE"/>
    <w:rsid w:val="00930B3F"/>
    <w:rsid w:val="009346EA"/>
    <w:rsid w:val="00934E01"/>
    <w:rsid w:val="00935B55"/>
    <w:rsid w:val="00943A5A"/>
    <w:rsid w:val="009442F9"/>
    <w:rsid w:val="00944BDF"/>
    <w:rsid w:val="00950E34"/>
    <w:rsid w:val="00951907"/>
    <w:rsid w:val="00953C83"/>
    <w:rsid w:val="009565C4"/>
    <w:rsid w:val="00956BE6"/>
    <w:rsid w:val="0096018D"/>
    <w:rsid w:val="009617BD"/>
    <w:rsid w:val="009625AC"/>
    <w:rsid w:val="00962BEB"/>
    <w:rsid w:val="00962D4A"/>
    <w:rsid w:val="009650B2"/>
    <w:rsid w:val="00965347"/>
    <w:rsid w:val="00965DC2"/>
    <w:rsid w:val="00970556"/>
    <w:rsid w:val="009718F9"/>
    <w:rsid w:val="00972693"/>
    <w:rsid w:val="00972A01"/>
    <w:rsid w:val="00974346"/>
    <w:rsid w:val="00974C08"/>
    <w:rsid w:val="00974EE5"/>
    <w:rsid w:val="00977C5B"/>
    <w:rsid w:val="00981647"/>
    <w:rsid w:val="00984335"/>
    <w:rsid w:val="00985E0B"/>
    <w:rsid w:val="009866A1"/>
    <w:rsid w:val="00986B47"/>
    <w:rsid w:val="00986BE4"/>
    <w:rsid w:val="00990696"/>
    <w:rsid w:val="009919E1"/>
    <w:rsid w:val="00994724"/>
    <w:rsid w:val="00994F49"/>
    <w:rsid w:val="00995998"/>
    <w:rsid w:val="0099608E"/>
    <w:rsid w:val="009960C9"/>
    <w:rsid w:val="00997099"/>
    <w:rsid w:val="009A0F01"/>
    <w:rsid w:val="009A5410"/>
    <w:rsid w:val="009A78A1"/>
    <w:rsid w:val="009A7E3D"/>
    <w:rsid w:val="009B097D"/>
    <w:rsid w:val="009B26BE"/>
    <w:rsid w:val="009B294C"/>
    <w:rsid w:val="009B43C2"/>
    <w:rsid w:val="009B5AC6"/>
    <w:rsid w:val="009B5D1A"/>
    <w:rsid w:val="009B73D4"/>
    <w:rsid w:val="009B77E9"/>
    <w:rsid w:val="009B7D9E"/>
    <w:rsid w:val="009D054D"/>
    <w:rsid w:val="009D07AF"/>
    <w:rsid w:val="009D2870"/>
    <w:rsid w:val="009D3BC7"/>
    <w:rsid w:val="009D449A"/>
    <w:rsid w:val="009D5F08"/>
    <w:rsid w:val="009D5FDE"/>
    <w:rsid w:val="009D6577"/>
    <w:rsid w:val="009E1460"/>
    <w:rsid w:val="009E27D2"/>
    <w:rsid w:val="009E349F"/>
    <w:rsid w:val="009E422B"/>
    <w:rsid w:val="009E42D7"/>
    <w:rsid w:val="009E5576"/>
    <w:rsid w:val="009E65E9"/>
    <w:rsid w:val="009E73A3"/>
    <w:rsid w:val="009F6510"/>
    <w:rsid w:val="009F6BA3"/>
    <w:rsid w:val="00A015B4"/>
    <w:rsid w:val="00A0207A"/>
    <w:rsid w:val="00A044D8"/>
    <w:rsid w:val="00A1053E"/>
    <w:rsid w:val="00A11C3F"/>
    <w:rsid w:val="00A13546"/>
    <w:rsid w:val="00A14247"/>
    <w:rsid w:val="00A16715"/>
    <w:rsid w:val="00A16B64"/>
    <w:rsid w:val="00A23CC9"/>
    <w:rsid w:val="00A23D44"/>
    <w:rsid w:val="00A26ABE"/>
    <w:rsid w:val="00A26E83"/>
    <w:rsid w:val="00A2728C"/>
    <w:rsid w:val="00A305B9"/>
    <w:rsid w:val="00A308A2"/>
    <w:rsid w:val="00A30FC3"/>
    <w:rsid w:val="00A322E5"/>
    <w:rsid w:val="00A32691"/>
    <w:rsid w:val="00A32908"/>
    <w:rsid w:val="00A32EAA"/>
    <w:rsid w:val="00A35758"/>
    <w:rsid w:val="00A36735"/>
    <w:rsid w:val="00A406FA"/>
    <w:rsid w:val="00A418FA"/>
    <w:rsid w:val="00A426DC"/>
    <w:rsid w:val="00A43119"/>
    <w:rsid w:val="00A449BB"/>
    <w:rsid w:val="00A461B1"/>
    <w:rsid w:val="00A46DA6"/>
    <w:rsid w:val="00A51D9B"/>
    <w:rsid w:val="00A52457"/>
    <w:rsid w:val="00A52475"/>
    <w:rsid w:val="00A55E58"/>
    <w:rsid w:val="00A560CC"/>
    <w:rsid w:val="00A61B3E"/>
    <w:rsid w:val="00A61EFA"/>
    <w:rsid w:val="00A63569"/>
    <w:rsid w:val="00A66DD3"/>
    <w:rsid w:val="00A7015A"/>
    <w:rsid w:val="00A72B39"/>
    <w:rsid w:val="00A73323"/>
    <w:rsid w:val="00A7612E"/>
    <w:rsid w:val="00A804E9"/>
    <w:rsid w:val="00A82CE4"/>
    <w:rsid w:val="00A841F2"/>
    <w:rsid w:val="00A86917"/>
    <w:rsid w:val="00A94A65"/>
    <w:rsid w:val="00A9645F"/>
    <w:rsid w:val="00AA205F"/>
    <w:rsid w:val="00AA483C"/>
    <w:rsid w:val="00AA5D0F"/>
    <w:rsid w:val="00AB1D51"/>
    <w:rsid w:val="00AB2044"/>
    <w:rsid w:val="00AB2ABD"/>
    <w:rsid w:val="00AB31EC"/>
    <w:rsid w:val="00AB3B57"/>
    <w:rsid w:val="00AB50F9"/>
    <w:rsid w:val="00AB5773"/>
    <w:rsid w:val="00AC1871"/>
    <w:rsid w:val="00AD045F"/>
    <w:rsid w:val="00AD0AD7"/>
    <w:rsid w:val="00AD0B14"/>
    <w:rsid w:val="00AD254B"/>
    <w:rsid w:val="00AD2BAB"/>
    <w:rsid w:val="00AD3906"/>
    <w:rsid w:val="00AD3D91"/>
    <w:rsid w:val="00AD46D0"/>
    <w:rsid w:val="00AD47BF"/>
    <w:rsid w:val="00AD544C"/>
    <w:rsid w:val="00AD691C"/>
    <w:rsid w:val="00AE09C4"/>
    <w:rsid w:val="00AE115A"/>
    <w:rsid w:val="00AE15BC"/>
    <w:rsid w:val="00AE179F"/>
    <w:rsid w:val="00AE228D"/>
    <w:rsid w:val="00AE4B76"/>
    <w:rsid w:val="00AE7E96"/>
    <w:rsid w:val="00AF1912"/>
    <w:rsid w:val="00AF4E1E"/>
    <w:rsid w:val="00B04190"/>
    <w:rsid w:val="00B045FE"/>
    <w:rsid w:val="00B04BC1"/>
    <w:rsid w:val="00B04D93"/>
    <w:rsid w:val="00B05480"/>
    <w:rsid w:val="00B0617D"/>
    <w:rsid w:val="00B07588"/>
    <w:rsid w:val="00B1007F"/>
    <w:rsid w:val="00B14C1E"/>
    <w:rsid w:val="00B15CBF"/>
    <w:rsid w:val="00B16656"/>
    <w:rsid w:val="00B207E5"/>
    <w:rsid w:val="00B20C58"/>
    <w:rsid w:val="00B221D5"/>
    <w:rsid w:val="00B2305E"/>
    <w:rsid w:val="00B237F3"/>
    <w:rsid w:val="00B243B2"/>
    <w:rsid w:val="00B26283"/>
    <w:rsid w:val="00B26EFE"/>
    <w:rsid w:val="00B27B94"/>
    <w:rsid w:val="00B27D0B"/>
    <w:rsid w:val="00B27DA0"/>
    <w:rsid w:val="00B30037"/>
    <w:rsid w:val="00B3078F"/>
    <w:rsid w:val="00B31F0B"/>
    <w:rsid w:val="00B32F0B"/>
    <w:rsid w:val="00B33EFF"/>
    <w:rsid w:val="00B4116F"/>
    <w:rsid w:val="00B42039"/>
    <w:rsid w:val="00B445D4"/>
    <w:rsid w:val="00B45816"/>
    <w:rsid w:val="00B458B9"/>
    <w:rsid w:val="00B505B5"/>
    <w:rsid w:val="00B50910"/>
    <w:rsid w:val="00B51760"/>
    <w:rsid w:val="00B5332E"/>
    <w:rsid w:val="00B538F7"/>
    <w:rsid w:val="00B556BA"/>
    <w:rsid w:val="00B559CB"/>
    <w:rsid w:val="00B55B53"/>
    <w:rsid w:val="00B55C3A"/>
    <w:rsid w:val="00B5759E"/>
    <w:rsid w:val="00B66799"/>
    <w:rsid w:val="00B716BB"/>
    <w:rsid w:val="00B716CE"/>
    <w:rsid w:val="00B71CCA"/>
    <w:rsid w:val="00B72852"/>
    <w:rsid w:val="00B732EE"/>
    <w:rsid w:val="00B73FFD"/>
    <w:rsid w:val="00B7484F"/>
    <w:rsid w:val="00B76160"/>
    <w:rsid w:val="00B76F74"/>
    <w:rsid w:val="00B7765C"/>
    <w:rsid w:val="00B850BD"/>
    <w:rsid w:val="00B901BA"/>
    <w:rsid w:val="00B90322"/>
    <w:rsid w:val="00B91DD5"/>
    <w:rsid w:val="00B94F15"/>
    <w:rsid w:val="00B9519C"/>
    <w:rsid w:val="00BA00FA"/>
    <w:rsid w:val="00BA0C7A"/>
    <w:rsid w:val="00BA50ED"/>
    <w:rsid w:val="00BA5ED2"/>
    <w:rsid w:val="00BA6A8C"/>
    <w:rsid w:val="00BB1298"/>
    <w:rsid w:val="00BB2223"/>
    <w:rsid w:val="00BB2464"/>
    <w:rsid w:val="00BB3FCF"/>
    <w:rsid w:val="00BB515C"/>
    <w:rsid w:val="00BB529C"/>
    <w:rsid w:val="00BB5A14"/>
    <w:rsid w:val="00BC4144"/>
    <w:rsid w:val="00BC5FF2"/>
    <w:rsid w:val="00BC6DD1"/>
    <w:rsid w:val="00BD217A"/>
    <w:rsid w:val="00BD2525"/>
    <w:rsid w:val="00BD45B6"/>
    <w:rsid w:val="00BD46DC"/>
    <w:rsid w:val="00BD4984"/>
    <w:rsid w:val="00BE0353"/>
    <w:rsid w:val="00BE4F3F"/>
    <w:rsid w:val="00BE5A07"/>
    <w:rsid w:val="00BF27B2"/>
    <w:rsid w:val="00BF2993"/>
    <w:rsid w:val="00BF3747"/>
    <w:rsid w:val="00BF408D"/>
    <w:rsid w:val="00BF7CB6"/>
    <w:rsid w:val="00C037D6"/>
    <w:rsid w:val="00C03F17"/>
    <w:rsid w:val="00C0473E"/>
    <w:rsid w:val="00C05BA4"/>
    <w:rsid w:val="00C10119"/>
    <w:rsid w:val="00C10597"/>
    <w:rsid w:val="00C10C96"/>
    <w:rsid w:val="00C14C32"/>
    <w:rsid w:val="00C167DC"/>
    <w:rsid w:val="00C1697B"/>
    <w:rsid w:val="00C16CA3"/>
    <w:rsid w:val="00C2505A"/>
    <w:rsid w:val="00C26282"/>
    <w:rsid w:val="00C304EC"/>
    <w:rsid w:val="00C32253"/>
    <w:rsid w:val="00C35623"/>
    <w:rsid w:val="00C35683"/>
    <w:rsid w:val="00C3594A"/>
    <w:rsid w:val="00C36723"/>
    <w:rsid w:val="00C37056"/>
    <w:rsid w:val="00C52E11"/>
    <w:rsid w:val="00C5467D"/>
    <w:rsid w:val="00C55D39"/>
    <w:rsid w:val="00C55EBF"/>
    <w:rsid w:val="00C55FF0"/>
    <w:rsid w:val="00C574D3"/>
    <w:rsid w:val="00C57776"/>
    <w:rsid w:val="00C610ED"/>
    <w:rsid w:val="00C61D41"/>
    <w:rsid w:val="00C637B7"/>
    <w:rsid w:val="00C64E1A"/>
    <w:rsid w:val="00C70A0E"/>
    <w:rsid w:val="00C71475"/>
    <w:rsid w:val="00C73A88"/>
    <w:rsid w:val="00C73D1E"/>
    <w:rsid w:val="00C74BD4"/>
    <w:rsid w:val="00C77ED0"/>
    <w:rsid w:val="00C85D36"/>
    <w:rsid w:val="00C92B64"/>
    <w:rsid w:val="00C92E3D"/>
    <w:rsid w:val="00C94FE4"/>
    <w:rsid w:val="00C95A3F"/>
    <w:rsid w:val="00CA0F3B"/>
    <w:rsid w:val="00CA0F93"/>
    <w:rsid w:val="00CA1DE2"/>
    <w:rsid w:val="00CA257A"/>
    <w:rsid w:val="00CA3DB0"/>
    <w:rsid w:val="00CA4BDC"/>
    <w:rsid w:val="00CA650A"/>
    <w:rsid w:val="00CB14D2"/>
    <w:rsid w:val="00CB6B4D"/>
    <w:rsid w:val="00CC00C2"/>
    <w:rsid w:val="00CC13CE"/>
    <w:rsid w:val="00CC62B9"/>
    <w:rsid w:val="00CC7884"/>
    <w:rsid w:val="00CC7A1D"/>
    <w:rsid w:val="00CD0912"/>
    <w:rsid w:val="00CD0D4C"/>
    <w:rsid w:val="00CD1B7D"/>
    <w:rsid w:val="00CD4259"/>
    <w:rsid w:val="00CD5549"/>
    <w:rsid w:val="00CD66BA"/>
    <w:rsid w:val="00CE0542"/>
    <w:rsid w:val="00CE0A89"/>
    <w:rsid w:val="00CE1137"/>
    <w:rsid w:val="00CE13CD"/>
    <w:rsid w:val="00CE1AD9"/>
    <w:rsid w:val="00CE4E04"/>
    <w:rsid w:val="00CE7420"/>
    <w:rsid w:val="00CF3F6C"/>
    <w:rsid w:val="00CF6931"/>
    <w:rsid w:val="00CF69F5"/>
    <w:rsid w:val="00D01CD4"/>
    <w:rsid w:val="00D04184"/>
    <w:rsid w:val="00D04289"/>
    <w:rsid w:val="00D109F0"/>
    <w:rsid w:val="00D11016"/>
    <w:rsid w:val="00D114EF"/>
    <w:rsid w:val="00D158C4"/>
    <w:rsid w:val="00D21526"/>
    <w:rsid w:val="00D264C4"/>
    <w:rsid w:val="00D26950"/>
    <w:rsid w:val="00D27176"/>
    <w:rsid w:val="00D27A70"/>
    <w:rsid w:val="00D30E92"/>
    <w:rsid w:val="00D33F37"/>
    <w:rsid w:val="00D348F8"/>
    <w:rsid w:val="00D35ABA"/>
    <w:rsid w:val="00D35EF4"/>
    <w:rsid w:val="00D4159C"/>
    <w:rsid w:val="00D433A8"/>
    <w:rsid w:val="00D468FA"/>
    <w:rsid w:val="00D5062D"/>
    <w:rsid w:val="00D5292A"/>
    <w:rsid w:val="00D53147"/>
    <w:rsid w:val="00D54EE3"/>
    <w:rsid w:val="00D55712"/>
    <w:rsid w:val="00D71021"/>
    <w:rsid w:val="00D725F7"/>
    <w:rsid w:val="00D735BB"/>
    <w:rsid w:val="00D7707F"/>
    <w:rsid w:val="00D81C31"/>
    <w:rsid w:val="00D82D6F"/>
    <w:rsid w:val="00D84056"/>
    <w:rsid w:val="00D84542"/>
    <w:rsid w:val="00D84C91"/>
    <w:rsid w:val="00D851E3"/>
    <w:rsid w:val="00D870BA"/>
    <w:rsid w:val="00D87564"/>
    <w:rsid w:val="00D90DA2"/>
    <w:rsid w:val="00D918BB"/>
    <w:rsid w:val="00D91FCB"/>
    <w:rsid w:val="00D936A8"/>
    <w:rsid w:val="00DA18F6"/>
    <w:rsid w:val="00DA569E"/>
    <w:rsid w:val="00DB035E"/>
    <w:rsid w:val="00DB0C4C"/>
    <w:rsid w:val="00DB659E"/>
    <w:rsid w:val="00DC0485"/>
    <w:rsid w:val="00DC05AE"/>
    <w:rsid w:val="00DC10B0"/>
    <w:rsid w:val="00DC16F3"/>
    <w:rsid w:val="00DC3463"/>
    <w:rsid w:val="00DC6B5B"/>
    <w:rsid w:val="00DC6BD1"/>
    <w:rsid w:val="00DC7A36"/>
    <w:rsid w:val="00DC7C46"/>
    <w:rsid w:val="00DD37A7"/>
    <w:rsid w:val="00DD4A39"/>
    <w:rsid w:val="00DD5B9F"/>
    <w:rsid w:val="00DD5EAE"/>
    <w:rsid w:val="00DD606C"/>
    <w:rsid w:val="00DD6FCF"/>
    <w:rsid w:val="00DD7BFF"/>
    <w:rsid w:val="00DE0965"/>
    <w:rsid w:val="00DE10BB"/>
    <w:rsid w:val="00DE307C"/>
    <w:rsid w:val="00DE385A"/>
    <w:rsid w:val="00DF0358"/>
    <w:rsid w:val="00DF46C4"/>
    <w:rsid w:val="00DF59CB"/>
    <w:rsid w:val="00E0276D"/>
    <w:rsid w:val="00E03976"/>
    <w:rsid w:val="00E05C0A"/>
    <w:rsid w:val="00E0739A"/>
    <w:rsid w:val="00E07F57"/>
    <w:rsid w:val="00E1074D"/>
    <w:rsid w:val="00E10FEC"/>
    <w:rsid w:val="00E112D1"/>
    <w:rsid w:val="00E11A25"/>
    <w:rsid w:val="00E11A31"/>
    <w:rsid w:val="00E131C0"/>
    <w:rsid w:val="00E14522"/>
    <w:rsid w:val="00E16687"/>
    <w:rsid w:val="00E175D8"/>
    <w:rsid w:val="00E21F08"/>
    <w:rsid w:val="00E22AD5"/>
    <w:rsid w:val="00E25812"/>
    <w:rsid w:val="00E307CF"/>
    <w:rsid w:val="00E3316C"/>
    <w:rsid w:val="00E345C6"/>
    <w:rsid w:val="00E34771"/>
    <w:rsid w:val="00E41B16"/>
    <w:rsid w:val="00E464FF"/>
    <w:rsid w:val="00E50D78"/>
    <w:rsid w:val="00E52BBA"/>
    <w:rsid w:val="00E5572F"/>
    <w:rsid w:val="00E568E6"/>
    <w:rsid w:val="00E56930"/>
    <w:rsid w:val="00E56DFF"/>
    <w:rsid w:val="00E56FEB"/>
    <w:rsid w:val="00E608B7"/>
    <w:rsid w:val="00E64CCF"/>
    <w:rsid w:val="00E65D39"/>
    <w:rsid w:val="00E707F2"/>
    <w:rsid w:val="00E7209D"/>
    <w:rsid w:val="00E727FB"/>
    <w:rsid w:val="00E7628B"/>
    <w:rsid w:val="00E76464"/>
    <w:rsid w:val="00E83B17"/>
    <w:rsid w:val="00E84350"/>
    <w:rsid w:val="00E917E1"/>
    <w:rsid w:val="00E93A39"/>
    <w:rsid w:val="00E95F71"/>
    <w:rsid w:val="00E96DAF"/>
    <w:rsid w:val="00EA0CB1"/>
    <w:rsid w:val="00EA2330"/>
    <w:rsid w:val="00EA408B"/>
    <w:rsid w:val="00EA59D0"/>
    <w:rsid w:val="00EB0957"/>
    <w:rsid w:val="00EB5624"/>
    <w:rsid w:val="00EB58AD"/>
    <w:rsid w:val="00EC05C7"/>
    <w:rsid w:val="00EC184B"/>
    <w:rsid w:val="00EC22C0"/>
    <w:rsid w:val="00EC73D1"/>
    <w:rsid w:val="00EC73E0"/>
    <w:rsid w:val="00ED0848"/>
    <w:rsid w:val="00ED0FAA"/>
    <w:rsid w:val="00ED34FE"/>
    <w:rsid w:val="00ED4C48"/>
    <w:rsid w:val="00ED61AE"/>
    <w:rsid w:val="00ED6CC9"/>
    <w:rsid w:val="00EE0D84"/>
    <w:rsid w:val="00EE448E"/>
    <w:rsid w:val="00EE52C4"/>
    <w:rsid w:val="00EE7194"/>
    <w:rsid w:val="00EE7779"/>
    <w:rsid w:val="00EE7F6B"/>
    <w:rsid w:val="00EF2838"/>
    <w:rsid w:val="00EF55F5"/>
    <w:rsid w:val="00EF5C2D"/>
    <w:rsid w:val="00F00B56"/>
    <w:rsid w:val="00F02041"/>
    <w:rsid w:val="00F0332F"/>
    <w:rsid w:val="00F033F7"/>
    <w:rsid w:val="00F04F83"/>
    <w:rsid w:val="00F071F9"/>
    <w:rsid w:val="00F10D4F"/>
    <w:rsid w:val="00F12D92"/>
    <w:rsid w:val="00F13274"/>
    <w:rsid w:val="00F13A04"/>
    <w:rsid w:val="00F16A3C"/>
    <w:rsid w:val="00F16FDE"/>
    <w:rsid w:val="00F17FF4"/>
    <w:rsid w:val="00F22060"/>
    <w:rsid w:val="00F22E12"/>
    <w:rsid w:val="00F23842"/>
    <w:rsid w:val="00F253F4"/>
    <w:rsid w:val="00F2699F"/>
    <w:rsid w:val="00F26B20"/>
    <w:rsid w:val="00F32CF4"/>
    <w:rsid w:val="00F33025"/>
    <w:rsid w:val="00F340E9"/>
    <w:rsid w:val="00F34D6D"/>
    <w:rsid w:val="00F35E59"/>
    <w:rsid w:val="00F4040E"/>
    <w:rsid w:val="00F41D64"/>
    <w:rsid w:val="00F4482E"/>
    <w:rsid w:val="00F449B3"/>
    <w:rsid w:val="00F46760"/>
    <w:rsid w:val="00F46ED6"/>
    <w:rsid w:val="00F51C70"/>
    <w:rsid w:val="00F56202"/>
    <w:rsid w:val="00F56DD3"/>
    <w:rsid w:val="00F61249"/>
    <w:rsid w:val="00F61E5C"/>
    <w:rsid w:val="00F63DA7"/>
    <w:rsid w:val="00F648B2"/>
    <w:rsid w:val="00F6560F"/>
    <w:rsid w:val="00F67BCF"/>
    <w:rsid w:val="00F70F40"/>
    <w:rsid w:val="00F71D6D"/>
    <w:rsid w:val="00F72239"/>
    <w:rsid w:val="00F73EB9"/>
    <w:rsid w:val="00F802FB"/>
    <w:rsid w:val="00F81CCE"/>
    <w:rsid w:val="00F8223B"/>
    <w:rsid w:val="00F830F8"/>
    <w:rsid w:val="00F841B4"/>
    <w:rsid w:val="00F84FF7"/>
    <w:rsid w:val="00F862E7"/>
    <w:rsid w:val="00F90BE1"/>
    <w:rsid w:val="00F950EE"/>
    <w:rsid w:val="00F976A6"/>
    <w:rsid w:val="00F97B1F"/>
    <w:rsid w:val="00FA0942"/>
    <w:rsid w:val="00FA0D0D"/>
    <w:rsid w:val="00FA7D39"/>
    <w:rsid w:val="00FB0773"/>
    <w:rsid w:val="00FB0BA4"/>
    <w:rsid w:val="00FB21C8"/>
    <w:rsid w:val="00FB2272"/>
    <w:rsid w:val="00FB3E34"/>
    <w:rsid w:val="00FC6F7B"/>
    <w:rsid w:val="00FC7C8E"/>
    <w:rsid w:val="00FD1B53"/>
    <w:rsid w:val="00FD4C6B"/>
    <w:rsid w:val="00FD5922"/>
    <w:rsid w:val="00FD6811"/>
    <w:rsid w:val="00FD70FD"/>
    <w:rsid w:val="00FE0C27"/>
    <w:rsid w:val="00FE135B"/>
    <w:rsid w:val="00FE4177"/>
    <w:rsid w:val="00FE5618"/>
    <w:rsid w:val="00FE6748"/>
    <w:rsid w:val="00FE7663"/>
    <w:rsid w:val="00FE7800"/>
    <w:rsid w:val="00FF0903"/>
    <w:rsid w:val="00FF16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ECBB98"/>
  <w15:chartTrackingRefBased/>
  <w15:docId w15:val="{2283B12F-F175-46A4-B04B-30472D74A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3E0"/>
  </w:style>
  <w:style w:type="paragraph" w:styleId="Heading1">
    <w:name w:val="heading 1"/>
    <w:basedOn w:val="Normal"/>
    <w:next w:val="Normal"/>
    <w:link w:val="Heading1Char"/>
    <w:uiPriority w:val="9"/>
    <w:qFormat/>
    <w:rsid w:val="00A449BB"/>
    <w:pPr>
      <w:keepNext/>
      <w:keepLines/>
      <w:spacing w:before="240" w:after="0"/>
      <w:outlineLvl w:val="0"/>
    </w:pPr>
    <w:rPr>
      <w:rFonts w:ascii="Franklin Gothic Medium Cond" w:eastAsiaTheme="majorEastAsia" w:hAnsi="Franklin Gothic Medium Cond" w:cstheme="majorBidi"/>
      <w:color w:val="3B2E8D"/>
      <w:sz w:val="32"/>
      <w:szCs w:val="32"/>
    </w:rPr>
  </w:style>
  <w:style w:type="paragraph" w:styleId="Heading2">
    <w:name w:val="heading 2"/>
    <w:basedOn w:val="Normal"/>
    <w:next w:val="Normal"/>
    <w:link w:val="Heading2Char"/>
    <w:uiPriority w:val="9"/>
    <w:unhideWhenUsed/>
    <w:qFormat/>
    <w:rsid w:val="00ED0FAA"/>
    <w:pPr>
      <w:keepNext/>
      <w:keepLines/>
      <w:spacing w:before="40" w:after="0"/>
      <w:outlineLvl w:val="1"/>
    </w:pPr>
    <w:rPr>
      <w:rFonts w:ascii="Franklin Gothic Medium Cond" w:eastAsiaTheme="majorEastAsia" w:hAnsi="Franklin Gothic Medium Cond"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7707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49BB"/>
    <w:rPr>
      <w:rFonts w:ascii="Franklin Gothic Medium Cond" w:eastAsiaTheme="majorEastAsia" w:hAnsi="Franklin Gothic Medium Cond" w:cstheme="majorBidi"/>
      <w:color w:val="3B2E8D"/>
      <w:sz w:val="32"/>
      <w:szCs w:val="32"/>
    </w:rPr>
  </w:style>
  <w:style w:type="paragraph" w:styleId="FootnoteText">
    <w:name w:val="footnote text"/>
    <w:basedOn w:val="Normal"/>
    <w:link w:val="FootnoteTextChar"/>
    <w:uiPriority w:val="99"/>
    <w:semiHidden/>
    <w:unhideWhenUsed/>
    <w:rsid w:val="003450A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450A2"/>
    <w:rPr>
      <w:sz w:val="20"/>
      <w:szCs w:val="20"/>
    </w:rPr>
  </w:style>
  <w:style w:type="character" w:styleId="FootnoteReference">
    <w:name w:val="footnote reference"/>
    <w:basedOn w:val="DefaultParagraphFont"/>
    <w:uiPriority w:val="99"/>
    <w:semiHidden/>
    <w:unhideWhenUsed/>
    <w:rsid w:val="003450A2"/>
    <w:rPr>
      <w:vertAlign w:val="superscript"/>
    </w:rPr>
  </w:style>
  <w:style w:type="character" w:customStyle="1" w:styleId="Heading2Char">
    <w:name w:val="Heading 2 Char"/>
    <w:basedOn w:val="DefaultParagraphFont"/>
    <w:link w:val="Heading2"/>
    <w:uiPriority w:val="9"/>
    <w:rsid w:val="00ED0FAA"/>
    <w:rPr>
      <w:rFonts w:ascii="Franklin Gothic Medium Cond" w:eastAsiaTheme="majorEastAsia" w:hAnsi="Franklin Gothic Medium Cond" w:cstheme="majorBidi"/>
      <w:color w:val="2F5496" w:themeColor="accent1" w:themeShade="BF"/>
      <w:sz w:val="26"/>
      <w:szCs w:val="26"/>
    </w:rPr>
  </w:style>
  <w:style w:type="character" w:customStyle="1" w:styleId="Heading3Char">
    <w:name w:val="Heading 3 Char"/>
    <w:basedOn w:val="DefaultParagraphFont"/>
    <w:link w:val="Heading3"/>
    <w:uiPriority w:val="9"/>
    <w:rsid w:val="00D7707F"/>
    <w:rPr>
      <w:rFonts w:asciiTheme="majorHAnsi" w:eastAsiaTheme="majorEastAsia" w:hAnsiTheme="majorHAnsi" w:cstheme="majorBidi"/>
      <w:color w:val="1F3763" w:themeColor="accent1" w:themeShade="7F"/>
      <w:sz w:val="24"/>
      <w:szCs w:val="24"/>
    </w:rPr>
  </w:style>
  <w:style w:type="paragraph" w:styleId="EndnoteText">
    <w:name w:val="endnote text"/>
    <w:basedOn w:val="Normal"/>
    <w:link w:val="EndnoteTextChar"/>
    <w:uiPriority w:val="99"/>
    <w:unhideWhenUsed/>
    <w:rsid w:val="00442B6C"/>
    <w:pPr>
      <w:spacing w:after="0" w:line="240" w:lineRule="auto"/>
    </w:pPr>
    <w:rPr>
      <w:sz w:val="20"/>
      <w:szCs w:val="20"/>
    </w:rPr>
  </w:style>
  <w:style w:type="character" w:customStyle="1" w:styleId="EndnoteTextChar">
    <w:name w:val="Endnote Text Char"/>
    <w:basedOn w:val="DefaultParagraphFont"/>
    <w:link w:val="EndnoteText"/>
    <w:uiPriority w:val="99"/>
    <w:rsid w:val="00442B6C"/>
    <w:rPr>
      <w:sz w:val="20"/>
      <w:szCs w:val="20"/>
    </w:rPr>
  </w:style>
  <w:style w:type="character" w:styleId="EndnoteReference">
    <w:name w:val="endnote reference"/>
    <w:basedOn w:val="DefaultParagraphFont"/>
    <w:uiPriority w:val="99"/>
    <w:semiHidden/>
    <w:unhideWhenUsed/>
    <w:rsid w:val="00442B6C"/>
    <w:rPr>
      <w:vertAlign w:val="superscript"/>
    </w:rPr>
  </w:style>
  <w:style w:type="paragraph" w:styleId="Revision">
    <w:name w:val="Revision"/>
    <w:hidden/>
    <w:uiPriority w:val="99"/>
    <w:semiHidden/>
    <w:rsid w:val="000D0151"/>
    <w:pPr>
      <w:spacing w:after="0" w:line="240" w:lineRule="auto"/>
    </w:pPr>
  </w:style>
  <w:style w:type="character" w:styleId="CommentReference">
    <w:name w:val="annotation reference"/>
    <w:basedOn w:val="DefaultParagraphFont"/>
    <w:uiPriority w:val="99"/>
    <w:semiHidden/>
    <w:unhideWhenUsed/>
    <w:rsid w:val="00E93A39"/>
    <w:rPr>
      <w:sz w:val="16"/>
      <w:szCs w:val="16"/>
    </w:rPr>
  </w:style>
  <w:style w:type="paragraph" w:styleId="CommentText">
    <w:name w:val="annotation text"/>
    <w:basedOn w:val="Normal"/>
    <w:link w:val="CommentTextChar"/>
    <w:uiPriority w:val="99"/>
    <w:unhideWhenUsed/>
    <w:rsid w:val="00E93A39"/>
    <w:pPr>
      <w:spacing w:line="240" w:lineRule="auto"/>
    </w:pPr>
    <w:rPr>
      <w:sz w:val="20"/>
      <w:szCs w:val="20"/>
    </w:rPr>
  </w:style>
  <w:style w:type="character" w:customStyle="1" w:styleId="CommentTextChar">
    <w:name w:val="Comment Text Char"/>
    <w:basedOn w:val="DefaultParagraphFont"/>
    <w:link w:val="CommentText"/>
    <w:uiPriority w:val="99"/>
    <w:rsid w:val="00E93A39"/>
    <w:rPr>
      <w:sz w:val="20"/>
      <w:szCs w:val="20"/>
    </w:rPr>
  </w:style>
  <w:style w:type="paragraph" w:styleId="CommentSubject">
    <w:name w:val="annotation subject"/>
    <w:basedOn w:val="CommentText"/>
    <w:next w:val="CommentText"/>
    <w:link w:val="CommentSubjectChar"/>
    <w:uiPriority w:val="99"/>
    <w:semiHidden/>
    <w:unhideWhenUsed/>
    <w:rsid w:val="00E93A39"/>
    <w:rPr>
      <w:b/>
      <w:bCs/>
    </w:rPr>
  </w:style>
  <w:style w:type="character" w:customStyle="1" w:styleId="CommentSubjectChar">
    <w:name w:val="Comment Subject Char"/>
    <w:basedOn w:val="CommentTextChar"/>
    <w:link w:val="CommentSubject"/>
    <w:uiPriority w:val="99"/>
    <w:semiHidden/>
    <w:rsid w:val="00E93A39"/>
    <w:rPr>
      <w:b/>
      <w:bCs/>
      <w:sz w:val="20"/>
      <w:szCs w:val="20"/>
    </w:rPr>
  </w:style>
  <w:style w:type="paragraph" w:styleId="Header">
    <w:name w:val="header"/>
    <w:basedOn w:val="Normal"/>
    <w:link w:val="HeaderChar"/>
    <w:uiPriority w:val="99"/>
    <w:unhideWhenUsed/>
    <w:rsid w:val="00744C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C46"/>
  </w:style>
  <w:style w:type="paragraph" w:styleId="Footer">
    <w:name w:val="footer"/>
    <w:basedOn w:val="Normal"/>
    <w:link w:val="FooterChar"/>
    <w:uiPriority w:val="99"/>
    <w:unhideWhenUsed/>
    <w:rsid w:val="00744C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4C46"/>
  </w:style>
  <w:style w:type="character" w:styleId="Hyperlink">
    <w:name w:val="Hyperlink"/>
    <w:basedOn w:val="DefaultParagraphFont"/>
    <w:uiPriority w:val="99"/>
    <w:unhideWhenUsed/>
    <w:rsid w:val="001D03C3"/>
    <w:rPr>
      <w:color w:val="0563C1" w:themeColor="hyperlink"/>
      <w:u w:val="single"/>
    </w:rPr>
  </w:style>
  <w:style w:type="character" w:styleId="UnresolvedMention">
    <w:name w:val="Unresolved Mention"/>
    <w:basedOn w:val="DefaultParagraphFont"/>
    <w:uiPriority w:val="99"/>
    <w:semiHidden/>
    <w:unhideWhenUsed/>
    <w:rsid w:val="001D03C3"/>
    <w:rPr>
      <w:color w:val="605E5C"/>
      <w:shd w:val="clear" w:color="auto" w:fill="E1DFDD"/>
    </w:rPr>
  </w:style>
  <w:style w:type="character" w:styleId="FollowedHyperlink">
    <w:name w:val="FollowedHyperlink"/>
    <w:basedOn w:val="DefaultParagraphFont"/>
    <w:uiPriority w:val="99"/>
    <w:semiHidden/>
    <w:unhideWhenUsed/>
    <w:rsid w:val="00196FE6"/>
    <w:rPr>
      <w:color w:val="954F72" w:themeColor="followedHyperlink"/>
      <w:u w:val="single"/>
    </w:rPr>
  </w:style>
  <w:style w:type="paragraph" w:styleId="NormalWeb">
    <w:name w:val="Normal (Web)"/>
    <w:basedOn w:val="Normal"/>
    <w:uiPriority w:val="99"/>
    <w:semiHidden/>
    <w:unhideWhenUsed/>
    <w:rsid w:val="00B0419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414548">
      <w:bodyDiv w:val="1"/>
      <w:marLeft w:val="0"/>
      <w:marRight w:val="0"/>
      <w:marTop w:val="0"/>
      <w:marBottom w:val="0"/>
      <w:divBdr>
        <w:top w:val="none" w:sz="0" w:space="0" w:color="auto"/>
        <w:left w:val="none" w:sz="0" w:space="0" w:color="auto"/>
        <w:bottom w:val="none" w:sz="0" w:space="0" w:color="auto"/>
        <w:right w:val="none" w:sz="0" w:space="0" w:color="auto"/>
      </w:divBdr>
      <w:divsChild>
        <w:div w:id="965158988">
          <w:marLeft w:val="0"/>
          <w:marRight w:val="0"/>
          <w:marTop w:val="0"/>
          <w:marBottom w:val="0"/>
          <w:divBdr>
            <w:top w:val="none" w:sz="0" w:space="0" w:color="auto"/>
            <w:left w:val="none" w:sz="0" w:space="0" w:color="auto"/>
            <w:bottom w:val="none" w:sz="0" w:space="0" w:color="auto"/>
            <w:right w:val="none" w:sz="0" w:space="0" w:color="auto"/>
          </w:divBdr>
          <w:divsChild>
            <w:div w:id="469446194">
              <w:marLeft w:val="0"/>
              <w:marRight w:val="0"/>
              <w:marTop w:val="0"/>
              <w:marBottom w:val="0"/>
              <w:divBdr>
                <w:top w:val="none" w:sz="0" w:space="0" w:color="auto"/>
                <w:left w:val="none" w:sz="0" w:space="0" w:color="auto"/>
                <w:bottom w:val="none" w:sz="0" w:space="0" w:color="auto"/>
                <w:right w:val="none" w:sz="0" w:space="0" w:color="auto"/>
              </w:divBdr>
              <w:divsChild>
                <w:div w:id="1426536856">
                  <w:marLeft w:val="0"/>
                  <w:marRight w:val="0"/>
                  <w:marTop w:val="0"/>
                  <w:marBottom w:val="0"/>
                  <w:divBdr>
                    <w:top w:val="none" w:sz="0" w:space="0" w:color="auto"/>
                    <w:left w:val="none" w:sz="0" w:space="0" w:color="auto"/>
                    <w:bottom w:val="none" w:sz="0" w:space="0" w:color="auto"/>
                    <w:right w:val="none" w:sz="0" w:space="0" w:color="auto"/>
                  </w:divBdr>
                  <w:divsChild>
                    <w:div w:id="118031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68600">
      <w:bodyDiv w:val="1"/>
      <w:marLeft w:val="0"/>
      <w:marRight w:val="0"/>
      <w:marTop w:val="0"/>
      <w:marBottom w:val="0"/>
      <w:divBdr>
        <w:top w:val="none" w:sz="0" w:space="0" w:color="auto"/>
        <w:left w:val="none" w:sz="0" w:space="0" w:color="auto"/>
        <w:bottom w:val="none" w:sz="0" w:space="0" w:color="auto"/>
        <w:right w:val="none" w:sz="0" w:space="0" w:color="auto"/>
      </w:divBdr>
    </w:div>
    <w:div w:id="148713106">
      <w:bodyDiv w:val="1"/>
      <w:marLeft w:val="0"/>
      <w:marRight w:val="0"/>
      <w:marTop w:val="0"/>
      <w:marBottom w:val="0"/>
      <w:divBdr>
        <w:top w:val="none" w:sz="0" w:space="0" w:color="auto"/>
        <w:left w:val="none" w:sz="0" w:space="0" w:color="auto"/>
        <w:bottom w:val="none" w:sz="0" w:space="0" w:color="auto"/>
        <w:right w:val="none" w:sz="0" w:space="0" w:color="auto"/>
      </w:divBdr>
      <w:divsChild>
        <w:div w:id="178393049">
          <w:marLeft w:val="0"/>
          <w:marRight w:val="0"/>
          <w:marTop w:val="0"/>
          <w:marBottom w:val="0"/>
          <w:divBdr>
            <w:top w:val="none" w:sz="0" w:space="0" w:color="auto"/>
            <w:left w:val="none" w:sz="0" w:space="0" w:color="auto"/>
            <w:bottom w:val="none" w:sz="0" w:space="0" w:color="auto"/>
            <w:right w:val="none" w:sz="0" w:space="0" w:color="auto"/>
          </w:divBdr>
          <w:divsChild>
            <w:div w:id="1404450553">
              <w:marLeft w:val="0"/>
              <w:marRight w:val="0"/>
              <w:marTop w:val="0"/>
              <w:marBottom w:val="0"/>
              <w:divBdr>
                <w:top w:val="none" w:sz="0" w:space="0" w:color="auto"/>
                <w:left w:val="none" w:sz="0" w:space="0" w:color="auto"/>
                <w:bottom w:val="none" w:sz="0" w:space="0" w:color="auto"/>
                <w:right w:val="none" w:sz="0" w:space="0" w:color="auto"/>
              </w:divBdr>
              <w:divsChild>
                <w:div w:id="538125684">
                  <w:marLeft w:val="0"/>
                  <w:marRight w:val="0"/>
                  <w:marTop w:val="0"/>
                  <w:marBottom w:val="0"/>
                  <w:divBdr>
                    <w:top w:val="none" w:sz="0" w:space="0" w:color="auto"/>
                    <w:left w:val="none" w:sz="0" w:space="0" w:color="auto"/>
                    <w:bottom w:val="none" w:sz="0" w:space="0" w:color="auto"/>
                    <w:right w:val="none" w:sz="0" w:space="0" w:color="auto"/>
                  </w:divBdr>
                  <w:divsChild>
                    <w:div w:id="86857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092492">
      <w:bodyDiv w:val="1"/>
      <w:marLeft w:val="0"/>
      <w:marRight w:val="0"/>
      <w:marTop w:val="0"/>
      <w:marBottom w:val="0"/>
      <w:divBdr>
        <w:top w:val="none" w:sz="0" w:space="0" w:color="auto"/>
        <w:left w:val="none" w:sz="0" w:space="0" w:color="auto"/>
        <w:bottom w:val="none" w:sz="0" w:space="0" w:color="auto"/>
        <w:right w:val="none" w:sz="0" w:space="0" w:color="auto"/>
      </w:divBdr>
    </w:div>
    <w:div w:id="298344865">
      <w:bodyDiv w:val="1"/>
      <w:marLeft w:val="0"/>
      <w:marRight w:val="0"/>
      <w:marTop w:val="0"/>
      <w:marBottom w:val="0"/>
      <w:divBdr>
        <w:top w:val="none" w:sz="0" w:space="0" w:color="auto"/>
        <w:left w:val="none" w:sz="0" w:space="0" w:color="auto"/>
        <w:bottom w:val="none" w:sz="0" w:space="0" w:color="auto"/>
        <w:right w:val="none" w:sz="0" w:space="0" w:color="auto"/>
      </w:divBdr>
      <w:divsChild>
        <w:div w:id="30301881">
          <w:marLeft w:val="0"/>
          <w:marRight w:val="0"/>
          <w:marTop w:val="0"/>
          <w:marBottom w:val="0"/>
          <w:divBdr>
            <w:top w:val="none" w:sz="0" w:space="0" w:color="auto"/>
            <w:left w:val="none" w:sz="0" w:space="0" w:color="auto"/>
            <w:bottom w:val="none" w:sz="0" w:space="0" w:color="auto"/>
            <w:right w:val="none" w:sz="0" w:space="0" w:color="auto"/>
          </w:divBdr>
          <w:divsChild>
            <w:div w:id="41222321">
              <w:marLeft w:val="0"/>
              <w:marRight w:val="0"/>
              <w:marTop w:val="0"/>
              <w:marBottom w:val="0"/>
              <w:divBdr>
                <w:top w:val="none" w:sz="0" w:space="0" w:color="auto"/>
                <w:left w:val="none" w:sz="0" w:space="0" w:color="auto"/>
                <w:bottom w:val="none" w:sz="0" w:space="0" w:color="auto"/>
                <w:right w:val="none" w:sz="0" w:space="0" w:color="auto"/>
              </w:divBdr>
              <w:divsChild>
                <w:div w:id="910847154">
                  <w:marLeft w:val="0"/>
                  <w:marRight w:val="0"/>
                  <w:marTop w:val="0"/>
                  <w:marBottom w:val="0"/>
                  <w:divBdr>
                    <w:top w:val="none" w:sz="0" w:space="0" w:color="auto"/>
                    <w:left w:val="none" w:sz="0" w:space="0" w:color="auto"/>
                    <w:bottom w:val="none" w:sz="0" w:space="0" w:color="auto"/>
                    <w:right w:val="none" w:sz="0" w:space="0" w:color="auto"/>
                  </w:divBdr>
                  <w:divsChild>
                    <w:div w:id="69462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758757">
      <w:bodyDiv w:val="1"/>
      <w:marLeft w:val="0"/>
      <w:marRight w:val="0"/>
      <w:marTop w:val="0"/>
      <w:marBottom w:val="0"/>
      <w:divBdr>
        <w:top w:val="none" w:sz="0" w:space="0" w:color="auto"/>
        <w:left w:val="none" w:sz="0" w:space="0" w:color="auto"/>
        <w:bottom w:val="none" w:sz="0" w:space="0" w:color="auto"/>
        <w:right w:val="none" w:sz="0" w:space="0" w:color="auto"/>
      </w:divBdr>
      <w:divsChild>
        <w:div w:id="1081953596">
          <w:marLeft w:val="0"/>
          <w:marRight w:val="0"/>
          <w:marTop w:val="0"/>
          <w:marBottom w:val="0"/>
          <w:divBdr>
            <w:top w:val="none" w:sz="0" w:space="0" w:color="auto"/>
            <w:left w:val="none" w:sz="0" w:space="0" w:color="auto"/>
            <w:bottom w:val="none" w:sz="0" w:space="0" w:color="auto"/>
            <w:right w:val="none" w:sz="0" w:space="0" w:color="auto"/>
          </w:divBdr>
          <w:divsChild>
            <w:div w:id="506677278">
              <w:marLeft w:val="0"/>
              <w:marRight w:val="0"/>
              <w:marTop w:val="0"/>
              <w:marBottom w:val="0"/>
              <w:divBdr>
                <w:top w:val="none" w:sz="0" w:space="0" w:color="auto"/>
                <w:left w:val="none" w:sz="0" w:space="0" w:color="auto"/>
                <w:bottom w:val="none" w:sz="0" w:space="0" w:color="auto"/>
                <w:right w:val="none" w:sz="0" w:space="0" w:color="auto"/>
              </w:divBdr>
              <w:divsChild>
                <w:div w:id="717976171">
                  <w:marLeft w:val="0"/>
                  <w:marRight w:val="0"/>
                  <w:marTop w:val="0"/>
                  <w:marBottom w:val="0"/>
                  <w:divBdr>
                    <w:top w:val="none" w:sz="0" w:space="0" w:color="auto"/>
                    <w:left w:val="none" w:sz="0" w:space="0" w:color="auto"/>
                    <w:bottom w:val="none" w:sz="0" w:space="0" w:color="auto"/>
                    <w:right w:val="none" w:sz="0" w:space="0" w:color="auto"/>
                  </w:divBdr>
                  <w:divsChild>
                    <w:div w:id="71913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595243">
      <w:bodyDiv w:val="1"/>
      <w:marLeft w:val="0"/>
      <w:marRight w:val="0"/>
      <w:marTop w:val="0"/>
      <w:marBottom w:val="0"/>
      <w:divBdr>
        <w:top w:val="none" w:sz="0" w:space="0" w:color="auto"/>
        <w:left w:val="none" w:sz="0" w:space="0" w:color="auto"/>
        <w:bottom w:val="none" w:sz="0" w:space="0" w:color="auto"/>
        <w:right w:val="none" w:sz="0" w:space="0" w:color="auto"/>
      </w:divBdr>
      <w:divsChild>
        <w:div w:id="815028181">
          <w:marLeft w:val="0"/>
          <w:marRight w:val="0"/>
          <w:marTop w:val="0"/>
          <w:marBottom w:val="0"/>
          <w:divBdr>
            <w:top w:val="none" w:sz="0" w:space="0" w:color="auto"/>
            <w:left w:val="none" w:sz="0" w:space="0" w:color="auto"/>
            <w:bottom w:val="none" w:sz="0" w:space="0" w:color="auto"/>
            <w:right w:val="none" w:sz="0" w:space="0" w:color="auto"/>
          </w:divBdr>
          <w:divsChild>
            <w:div w:id="320551244">
              <w:marLeft w:val="0"/>
              <w:marRight w:val="0"/>
              <w:marTop w:val="0"/>
              <w:marBottom w:val="0"/>
              <w:divBdr>
                <w:top w:val="none" w:sz="0" w:space="0" w:color="auto"/>
                <w:left w:val="none" w:sz="0" w:space="0" w:color="auto"/>
                <w:bottom w:val="none" w:sz="0" w:space="0" w:color="auto"/>
                <w:right w:val="none" w:sz="0" w:space="0" w:color="auto"/>
              </w:divBdr>
              <w:divsChild>
                <w:div w:id="1957173197">
                  <w:marLeft w:val="0"/>
                  <w:marRight w:val="0"/>
                  <w:marTop w:val="0"/>
                  <w:marBottom w:val="0"/>
                  <w:divBdr>
                    <w:top w:val="none" w:sz="0" w:space="0" w:color="auto"/>
                    <w:left w:val="none" w:sz="0" w:space="0" w:color="auto"/>
                    <w:bottom w:val="none" w:sz="0" w:space="0" w:color="auto"/>
                    <w:right w:val="none" w:sz="0" w:space="0" w:color="auto"/>
                  </w:divBdr>
                  <w:divsChild>
                    <w:div w:id="192322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294740">
      <w:bodyDiv w:val="1"/>
      <w:marLeft w:val="0"/>
      <w:marRight w:val="0"/>
      <w:marTop w:val="0"/>
      <w:marBottom w:val="0"/>
      <w:divBdr>
        <w:top w:val="none" w:sz="0" w:space="0" w:color="auto"/>
        <w:left w:val="none" w:sz="0" w:space="0" w:color="auto"/>
        <w:bottom w:val="none" w:sz="0" w:space="0" w:color="auto"/>
        <w:right w:val="none" w:sz="0" w:space="0" w:color="auto"/>
      </w:divBdr>
      <w:divsChild>
        <w:div w:id="694581615">
          <w:marLeft w:val="0"/>
          <w:marRight w:val="0"/>
          <w:marTop w:val="0"/>
          <w:marBottom w:val="0"/>
          <w:divBdr>
            <w:top w:val="none" w:sz="0" w:space="0" w:color="auto"/>
            <w:left w:val="none" w:sz="0" w:space="0" w:color="auto"/>
            <w:bottom w:val="none" w:sz="0" w:space="0" w:color="auto"/>
            <w:right w:val="none" w:sz="0" w:space="0" w:color="auto"/>
          </w:divBdr>
          <w:divsChild>
            <w:div w:id="1776711539">
              <w:marLeft w:val="0"/>
              <w:marRight w:val="0"/>
              <w:marTop w:val="0"/>
              <w:marBottom w:val="0"/>
              <w:divBdr>
                <w:top w:val="none" w:sz="0" w:space="0" w:color="auto"/>
                <w:left w:val="none" w:sz="0" w:space="0" w:color="auto"/>
                <w:bottom w:val="none" w:sz="0" w:space="0" w:color="auto"/>
                <w:right w:val="none" w:sz="0" w:space="0" w:color="auto"/>
              </w:divBdr>
              <w:divsChild>
                <w:div w:id="375547584">
                  <w:marLeft w:val="0"/>
                  <w:marRight w:val="0"/>
                  <w:marTop w:val="0"/>
                  <w:marBottom w:val="0"/>
                  <w:divBdr>
                    <w:top w:val="none" w:sz="0" w:space="0" w:color="auto"/>
                    <w:left w:val="none" w:sz="0" w:space="0" w:color="auto"/>
                    <w:bottom w:val="none" w:sz="0" w:space="0" w:color="auto"/>
                    <w:right w:val="none" w:sz="0" w:space="0" w:color="auto"/>
                  </w:divBdr>
                  <w:divsChild>
                    <w:div w:id="14963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617852">
      <w:bodyDiv w:val="1"/>
      <w:marLeft w:val="0"/>
      <w:marRight w:val="0"/>
      <w:marTop w:val="0"/>
      <w:marBottom w:val="0"/>
      <w:divBdr>
        <w:top w:val="none" w:sz="0" w:space="0" w:color="auto"/>
        <w:left w:val="none" w:sz="0" w:space="0" w:color="auto"/>
        <w:bottom w:val="none" w:sz="0" w:space="0" w:color="auto"/>
        <w:right w:val="none" w:sz="0" w:space="0" w:color="auto"/>
      </w:divBdr>
    </w:div>
    <w:div w:id="1186988116">
      <w:bodyDiv w:val="1"/>
      <w:marLeft w:val="0"/>
      <w:marRight w:val="0"/>
      <w:marTop w:val="0"/>
      <w:marBottom w:val="0"/>
      <w:divBdr>
        <w:top w:val="none" w:sz="0" w:space="0" w:color="auto"/>
        <w:left w:val="none" w:sz="0" w:space="0" w:color="auto"/>
        <w:bottom w:val="none" w:sz="0" w:space="0" w:color="auto"/>
        <w:right w:val="none" w:sz="0" w:space="0" w:color="auto"/>
      </w:divBdr>
      <w:divsChild>
        <w:div w:id="472909533">
          <w:marLeft w:val="0"/>
          <w:marRight w:val="0"/>
          <w:marTop w:val="0"/>
          <w:marBottom w:val="0"/>
          <w:divBdr>
            <w:top w:val="none" w:sz="0" w:space="0" w:color="auto"/>
            <w:left w:val="none" w:sz="0" w:space="0" w:color="auto"/>
            <w:bottom w:val="none" w:sz="0" w:space="0" w:color="auto"/>
            <w:right w:val="none" w:sz="0" w:space="0" w:color="auto"/>
          </w:divBdr>
          <w:divsChild>
            <w:div w:id="1198201215">
              <w:marLeft w:val="0"/>
              <w:marRight w:val="0"/>
              <w:marTop w:val="0"/>
              <w:marBottom w:val="0"/>
              <w:divBdr>
                <w:top w:val="none" w:sz="0" w:space="0" w:color="auto"/>
                <w:left w:val="none" w:sz="0" w:space="0" w:color="auto"/>
                <w:bottom w:val="none" w:sz="0" w:space="0" w:color="auto"/>
                <w:right w:val="none" w:sz="0" w:space="0" w:color="auto"/>
              </w:divBdr>
              <w:divsChild>
                <w:div w:id="414325734">
                  <w:marLeft w:val="0"/>
                  <w:marRight w:val="0"/>
                  <w:marTop w:val="0"/>
                  <w:marBottom w:val="0"/>
                  <w:divBdr>
                    <w:top w:val="none" w:sz="0" w:space="0" w:color="auto"/>
                    <w:left w:val="none" w:sz="0" w:space="0" w:color="auto"/>
                    <w:bottom w:val="none" w:sz="0" w:space="0" w:color="auto"/>
                    <w:right w:val="none" w:sz="0" w:space="0" w:color="auto"/>
                  </w:divBdr>
                  <w:divsChild>
                    <w:div w:id="193883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739048">
      <w:bodyDiv w:val="1"/>
      <w:marLeft w:val="0"/>
      <w:marRight w:val="0"/>
      <w:marTop w:val="0"/>
      <w:marBottom w:val="0"/>
      <w:divBdr>
        <w:top w:val="none" w:sz="0" w:space="0" w:color="auto"/>
        <w:left w:val="none" w:sz="0" w:space="0" w:color="auto"/>
        <w:bottom w:val="none" w:sz="0" w:space="0" w:color="auto"/>
        <w:right w:val="none" w:sz="0" w:space="0" w:color="auto"/>
      </w:divBdr>
    </w:div>
    <w:div w:id="1338656611">
      <w:bodyDiv w:val="1"/>
      <w:marLeft w:val="0"/>
      <w:marRight w:val="0"/>
      <w:marTop w:val="0"/>
      <w:marBottom w:val="0"/>
      <w:divBdr>
        <w:top w:val="none" w:sz="0" w:space="0" w:color="auto"/>
        <w:left w:val="none" w:sz="0" w:space="0" w:color="auto"/>
        <w:bottom w:val="none" w:sz="0" w:space="0" w:color="auto"/>
        <w:right w:val="none" w:sz="0" w:space="0" w:color="auto"/>
      </w:divBdr>
    </w:div>
    <w:div w:id="1533104187">
      <w:bodyDiv w:val="1"/>
      <w:marLeft w:val="0"/>
      <w:marRight w:val="0"/>
      <w:marTop w:val="0"/>
      <w:marBottom w:val="0"/>
      <w:divBdr>
        <w:top w:val="none" w:sz="0" w:space="0" w:color="auto"/>
        <w:left w:val="none" w:sz="0" w:space="0" w:color="auto"/>
        <w:bottom w:val="none" w:sz="0" w:space="0" w:color="auto"/>
        <w:right w:val="none" w:sz="0" w:space="0" w:color="auto"/>
      </w:divBdr>
    </w:div>
    <w:div w:id="1553299933">
      <w:bodyDiv w:val="1"/>
      <w:marLeft w:val="0"/>
      <w:marRight w:val="0"/>
      <w:marTop w:val="0"/>
      <w:marBottom w:val="0"/>
      <w:divBdr>
        <w:top w:val="none" w:sz="0" w:space="0" w:color="auto"/>
        <w:left w:val="none" w:sz="0" w:space="0" w:color="auto"/>
        <w:bottom w:val="none" w:sz="0" w:space="0" w:color="auto"/>
        <w:right w:val="none" w:sz="0" w:space="0" w:color="auto"/>
      </w:divBdr>
    </w:div>
    <w:div w:id="1845125251">
      <w:bodyDiv w:val="1"/>
      <w:marLeft w:val="0"/>
      <w:marRight w:val="0"/>
      <w:marTop w:val="0"/>
      <w:marBottom w:val="0"/>
      <w:divBdr>
        <w:top w:val="none" w:sz="0" w:space="0" w:color="auto"/>
        <w:left w:val="none" w:sz="0" w:space="0" w:color="auto"/>
        <w:bottom w:val="none" w:sz="0" w:space="0" w:color="auto"/>
        <w:right w:val="none" w:sz="0" w:space="0" w:color="auto"/>
      </w:divBdr>
    </w:div>
    <w:div w:id="1938368431">
      <w:bodyDiv w:val="1"/>
      <w:marLeft w:val="0"/>
      <w:marRight w:val="0"/>
      <w:marTop w:val="0"/>
      <w:marBottom w:val="0"/>
      <w:divBdr>
        <w:top w:val="none" w:sz="0" w:space="0" w:color="auto"/>
        <w:left w:val="none" w:sz="0" w:space="0" w:color="auto"/>
        <w:bottom w:val="none" w:sz="0" w:space="0" w:color="auto"/>
        <w:right w:val="none" w:sz="0" w:space="0" w:color="auto"/>
      </w:divBdr>
    </w:div>
    <w:div w:id="1941909142">
      <w:bodyDiv w:val="1"/>
      <w:marLeft w:val="0"/>
      <w:marRight w:val="0"/>
      <w:marTop w:val="0"/>
      <w:marBottom w:val="0"/>
      <w:divBdr>
        <w:top w:val="none" w:sz="0" w:space="0" w:color="auto"/>
        <w:left w:val="none" w:sz="0" w:space="0" w:color="auto"/>
        <w:bottom w:val="none" w:sz="0" w:space="0" w:color="auto"/>
        <w:right w:val="none" w:sz="0" w:space="0" w:color="auto"/>
      </w:divBdr>
      <w:divsChild>
        <w:div w:id="1001472288">
          <w:marLeft w:val="0"/>
          <w:marRight w:val="0"/>
          <w:marTop w:val="0"/>
          <w:marBottom w:val="0"/>
          <w:divBdr>
            <w:top w:val="none" w:sz="0" w:space="0" w:color="auto"/>
            <w:left w:val="none" w:sz="0" w:space="0" w:color="auto"/>
            <w:bottom w:val="none" w:sz="0" w:space="0" w:color="auto"/>
            <w:right w:val="none" w:sz="0" w:space="0" w:color="auto"/>
          </w:divBdr>
          <w:divsChild>
            <w:div w:id="484204836">
              <w:marLeft w:val="0"/>
              <w:marRight w:val="0"/>
              <w:marTop w:val="0"/>
              <w:marBottom w:val="0"/>
              <w:divBdr>
                <w:top w:val="none" w:sz="0" w:space="0" w:color="auto"/>
                <w:left w:val="none" w:sz="0" w:space="0" w:color="auto"/>
                <w:bottom w:val="none" w:sz="0" w:space="0" w:color="auto"/>
                <w:right w:val="none" w:sz="0" w:space="0" w:color="auto"/>
              </w:divBdr>
              <w:divsChild>
                <w:div w:id="1852842117">
                  <w:marLeft w:val="0"/>
                  <w:marRight w:val="0"/>
                  <w:marTop w:val="0"/>
                  <w:marBottom w:val="0"/>
                  <w:divBdr>
                    <w:top w:val="none" w:sz="0" w:space="0" w:color="auto"/>
                    <w:left w:val="none" w:sz="0" w:space="0" w:color="auto"/>
                    <w:bottom w:val="none" w:sz="0" w:space="0" w:color="auto"/>
                    <w:right w:val="none" w:sz="0" w:space="0" w:color="auto"/>
                  </w:divBdr>
                  <w:divsChild>
                    <w:div w:id="52424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3052DD9884876459F673F18C78A7AE5" ma:contentTypeVersion="16" ma:contentTypeDescription="Create a new document." ma:contentTypeScope="" ma:versionID="80b0f3ce2dc22a577a3ab5bf2701e922">
  <xsd:schema xmlns:xsd="http://www.w3.org/2001/XMLSchema" xmlns:xs="http://www.w3.org/2001/XMLSchema" xmlns:p="http://schemas.microsoft.com/office/2006/metadata/properties" xmlns:ns2="7b0841af-ea0f-49a0-ade3-d04fc00676dc" xmlns:ns3="e37478d1-0c26-40cf-853f-4cf87490ccd7" targetNamespace="http://schemas.microsoft.com/office/2006/metadata/properties" ma:root="true" ma:fieldsID="3aa90f50e2069860963be18518ed50de" ns2:_="" ns3:_="">
    <xsd:import namespace="7b0841af-ea0f-49a0-ade3-d04fc00676dc"/>
    <xsd:import namespace="e37478d1-0c26-40cf-853f-4cf87490ccd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0841af-ea0f-49a0-ade3-d04fc00676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c850f7a-df2d-45e1-b535-b36bf1294ca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37478d1-0c26-40cf-853f-4cf87490ccd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cebe05e-dc90-4f3d-91f8-e1f3a804ce69}" ma:internalName="TaxCatchAll" ma:showField="CatchAllData" ma:web="e37478d1-0c26-40cf-853f-4cf87490cc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b0841af-ea0f-49a0-ade3-d04fc00676dc">
      <Terms xmlns="http://schemas.microsoft.com/office/infopath/2007/PartnerControls"/>
    </lcf76f155ced4ddcb4097134ff3c332f>
    <TaxCatchAll xmlns="e37478d1-0c26-40cf-853f-4cf87490ccd7" xsi:nil="true"/>
    <SharedWithUsers xmlns="e37478d1-0c26-40cf-853f-4cf87490ccd7">
      <UserInfo>
        <DisplayName>Abby Miller</DisplayName>
        <AccountId>10</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9AABA4-3530-402A-A616-CDB2823B4B5C}">
  <ds:schemaRefs>
    <ds:schemaRef ds:uri="http://schemas.microsoft.com/sharepoint/v3/contenttype/forms"/>
  </ds:schemaRefs>
</ds:datastoreItem>
</file>

<file path=customXml/itemProps2.xml><?xml version="1.0" encoding="utf-8"?>
<ds:datastoreItem xmlns:ds="http://schemas.openxmlformats.org/officeDocument/2006/customXml" ds:itemID="{BA401F1C-09C2-4EC3-B1FA-41E0CA2B58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0841af-ea0f-49a0-ade3-d04fc00676dc"/>
    <ds:schemaRef ds:uri="e37478d1-0c26-40cf-853f-4cf87490cc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DD76F8-A7E3-4AF6-A586-A9A8F9D99059}">
  <ds:schemaRefs>
    <ds:schemaRef ds:uri="http://schemas.microsoft.com/office/2006/metadata/properties"/>
    <ds:schemaRef ds:uri="http://schemas.microsoft.com/office/infopath/2007/PartnerControls"/>
    <ds:schemaRef ds:uri="7b0841af-ea0f-49a0-ade3-d04fc00676dc"/>
    <ds:schemaRef ds:uri="e37478d1-0c26-40cf-853f-4cf87490ccd7"/>
  </ds:schemaRefs>
</ds:datastoreItem>
</file>

<file path=customXml/itemProps4.xml><?xml version="1.0" encoding="utf-8"?>
<ds:datastoreItem xmlns:ds="http://schemas.openxmlformats.org/officeDocument/2006/customXml" ds:itemID="{24CE9C72-FCBB-4758-B589-96E93EE96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15</Pages>
  <Words>4180</Words>
  <Characters>22157</Characters>
  <Application>Microsoft Office Word</Application>
  <DocSecurity>0</DocSecurity>
  <Lines>426</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Clery</dc:creator>
  <cp:keywords/>
  <dc:description/>
  <cp:lastModifiedBy>Flannery, Mary Ellen [NEA-CFC]</cp:lastModifiedBy>
  <cp:revision>5</cp:revision>
  <cp:lastPrinted>2025-03-10T17:01:00Z</cp:lastPrinted>
  <dcterms:created xsi:type="dcterms:W3CDTF">2025-03-10T16:14:00Z</dcterms:created>
  <dcterms:modified xsi:type="dcterms:W3CDTF">2025-03-13T14:23:00Z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0x01010003052DD9884876459F673F18C78A7AE5</vt:lpwstr>
  </property>
  <property fmtid="{D5CDD505-2E9C-101B-9397-08002B2CF9AE}" pid="3" name="MediaServiceImageTags">
    <vt:lpwstr/>
  </property>
</Properties>
</file>